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281" w:type="dxa"/>
        <w:tblLook w:val="04A0" w:firstRow="1" w:lastRow="0" w:firstColumn="1" w:lastColumn="0" w:noHBand="0" w:noVBand="1"/>
      </w:tblPr>
      <w:tblGrid>
        <w:gridCol w:w="6803"/>
        <w:gridCol w:w="2972"/>
      </w:tblGrid>
      <w:tr w:rsidR="002A404C" w:rsidRPr="00331FA0" w:rsidTr="00A009EE">
        <w:tc>
          <w:tcPr>
            <w:tcW w:w="6803" w:type="dxa"/>
            <w:vMerge w:val="restart"/>
            <w:shd w:val="clear" w:color="auto" w:fill="auto"/>
          </w:tcPr>
          <w:p w:rsidR="002A404C" w:rsidRPr="00331FA0" w:rsidRDefault="002A404C" w:rsidP="00A009EE">
            <w:pPr>
              <w:rPr>
                <w:rFonts w:asciiTheme="minorHAnsi" w:eastAsia="Yu Gothic" w:hAnsiTheme="minorHAnsi" w:cs="Calibri"/>
                <w:sz w:val="20"/>
                <w:szCs w:val="20"/>
              </w:rPr>
            </w:pPr>
            <w:r w:rsidRPr="00331FA0">
              <w:rPr>
                <w:rFonts w:asciiTheme="minorHAnsi" w:hAnsiTheme="minorHAnsi"/>
                <w:noProof/>
                <w:sz w:val="20"/>
                <w:szCs w:val="20"/>
              </w:rPr>
              <w:drawing>
                <wp:anchor distT="0" distB="0" distL="114300" distR="114300" simplePos="0" relativeHeight="251659264" behindDoc="0" locked="0" layoutInCell="1" allowOverlap="1" wp14:anchorId="0134BE6F" wp14:editId="5F7A6158">
                  <wp:simplePos x="0" y="0"/>
                  <wp:positionH relativeFrom="margin">
                    <wp:posOffset>111125</wp:posOffset>
                  </wp:positionH>
                  <wp:positionV relativeFrom="paragraph">
                    <wp:posOffset>0</wp:posOffset>
                  </wp:positionV>
                  <wp:extent cx="2501900" cy="528955"/>
                  <wp:effectExtent l="0" t="0" r="0" b="4445"/>
                  <wp:wrapThrough wrapText="bothSides">
                    <wp:wrapPolygon edited="0">
                      <wp:start x="0" y="0"/>
                      <wp:lineTo x="0" y="21004"/>
                      <wp:lineTo x="21381" y="21004"/>
                      <wp:lineTo x="21381" y="0"/>
                      <wp:lineTo x="0" y="0"/>
                    </wp:wrapPolygon>
                  </wp:wrapThrough>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01900" cy="528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2" w:type="dxa"/>
            <w:shd w:val="clear" w:color="auto" w:fill="auto"/>
          </w:tcPr>
          <w:p w:rsidR="002A404C" w:rsidRPr="00331FA0" w:rsidRDefault="002A404C" w:rsidP="00A009EE">
            <w:pPr>
              <w:rPr>
                <w:rFonts w:asciiTheme="minorHAnsi" w:eastAsia="Yu Gothic" w:hAnsiTheme="minorHAnsi" w:cs="Calibri"/>
                <w:b/>
                <w:sz w:val="20"/>
                <w:szCs w:val="20"/>
              </w:rPr>
            </w:pPr>
          </w:p>
        </w:tc>
      </w:tr>
      <w:tr w:rsidR="002A404C" w:rsidRPr="00331FA0" w:rsidTr="00A009EE">
        <w:tc>
          <w:tcPr>
            <w:tcW w:w="6803" w:type="dxa"/>
            <w:vMerge/>
            <w:tcBorders>
              <w:right w:val="single" w:sz="4" w:space="0" w:color="auto"/>
            </w:tcBorders>
            <w:shd w:val="clear" w:color="auto" w:fill="auto"/>
          </w:tcPr>
          <w:p w:rsidR="002A404C" w:rsidRPr="00331FA0" w:rsidRDefault="002A404C" w:rsidP="00A009EE">
            <w:pPr>
              <w:rPr>
                <w:rFonts w:asciiTheme="minorHAnsi" w:eastAsia="Yu Gothic" w:hAnsiTheme="minorHAnsi" w:cs="Calibri"/>
                <w:noProof/>
                <w:sz w:val="20"/>
                <w:szCs w:val="20"/>
              </w:rPr>
            </w:pPr>
          </w:p>
        </w:tc>
        <w:tc>
          <w:tcPr>
            <w:tcW w:w="2972" w:type="dxa"/>
            <w:tcBorders>
              <w:left w:val="single" w:sz="4" w:space="0" w:color="auto"/>
            </w:tcBorders>
            <w:shd w:val="clear" w:color="auto" w:fill="auto"/>
          </w:tcPr>
          <w:p w:rsidR="002A404C" w:rsidRPr="00331FA0" w:rsidRDefault="002A404C" w:rsidP="00A009EE">
            <w:pPr>
              <w:rPr>
                <w:rFonts w:asciiTheme="minorHAnsi" w:eastAsia="Yu Gothic UI" w:hAnsiTheme="minorHAnsi" w:cs="Calibri"/>
                <w:b/>
                <w:sz w:val="20"/>
                <w:szCs w:val="20"/>
              </w:rPr>
            </w:pPr>
            <w:r w:rsidRPr="00331FA0">
              <w:rPr>
                <w:rFonts w:asciiTheme="minorHAnsi" w:eastAsia="Yu Gothic UI" w:hAnsiTheme="minorHAnsi" w:cs="Calibri"/>
                <w:b/>
                <w:sz w:val="20"/>
                <w:szCs w:val="20"/>
              </w:rPr>
              <w:t xml:space="preserve"> Župan </w:t>
            </w:r>
          </w:p>
          <w:p w:rsidR="002A404C" w:rsidRPr="00331FA0" w:rsidRDefault="002A404C" w:rsidP="00A009EE">
            <w:pPr>
              <w:rPr>
                <w:rFonts w:asciiTheme="minorHAnsi" w:eastAsia="Yu Gothic UI" w:hAnsiTheme="minorHAnsi" w:cs="Calibri"/>
                <w:b/>
                <w:sz w:val="20"/>
                <w:szCs w:val="20"/>
              </w:rPr>
            </w:pPr>
            <w:r w:rsidRPr="00331FA0">
              <w:rPr>
                <w:rFonts w:asciiTheme="minorHAnsi" w:eastAsia="Yu Gothic UI" w:hAnsiTheme="minorHAnsi" w:cs="Calibri"/>
                <w:b/>
                <w:sz w:val="20"/>
                <w:szCs w:val="20"/>
              </w:rPr>
              <w:t xml:space="preserve"> </w:t>
            </w:r>
          </w:p>
          <w:p w:rsidR="002A404C" w:rsidRPr="00331FA0" w:rsidRDefault="002A404C" w:rsidP="00A009EE">
            <w:pPr>
              <w:rPr>
                <w:rFonts w:asciiTheme="minorHAnsi" w:eastAsia="Yu Gothic UI" w:hAnsiTheme="minorHAnsi" w:cs="Calibri"/>
                <w:b/>
                <w:sz w:val="20"/>
                <w:szCs w:val="20"/>
              </w:rPr>
            </w:pPr>
            <w:r w:rsidRPr="00331FA0">
              <w:rPr>
                <w:rFonts w:asciiTheme="minorHAnsi" w:eastAsia="Yu Gothic" w:hAnsiTheme="minorHAnsi" w:cs="Calibri"/>
                <w:sz w:val="20"/>
                <w:szCs w:val="20"/>
              </w:rPr>
              <w:t xml:space="preserve"> Slovenski trg 1,  4000 Kranj</w:t>
            </w:r>
            <w:r w:rsidRPr="00331FA0">
              <w:rPr>
                <w:rFonts w:asciiTheme="minorHAnsi" w:eastAsia="Yu Gothic UI" w:hAnsiTheme="minorHAnsi" w:cs="Calibri"/>
                <w:b/>
                <w:sz w:val="20"/>
                <w:szCs w:val="20"/>
              </w:rPr>
              <w:t xml:space="preserve"> </w:t>
            </w:r>
          </w:p>
          <w:p w:rsidR="002A404C" w:rsidRPr="00331FA0" w:rsidRDefault="002A404C" w:rsidP="00A009EE">
            <w:pPr>
              <w:rPr>
                <w:rFonts w:asciiTheme="minorHAnsi" w:eastAsia="Yu Gothic" w:hAnsiTheme="minorHAnsi" w:cs="Calibri"/>
                <w:sz w:val="20"/>
                <w:szCs w:val="20"/>
              </w:rPr>
            </w:pPr>
            <w:r w:rsidRPr="00331FA0">
              <w:rPr>
                <w:rFonts w:asciiTheme="minorHAnsi" w:eastAsia="Yu Gothic" w:hAnsiTheme="minorHAnsi" w:cs="Calibri"/>
                <w:sz w:val="20"/>
                <w:szCs w:val="20"/>
              </w:rPr>
              <w:t xml:space="preserve"> T: 04 237 33 76  F: 04 237 31 23</w:t>
            </w:r>
          </w:p>
          <w:p w:rsidR="002A404C" w:rsidRPr="00331FA0" w:rsidRDefault="002A404C" w:rsidP="00A009EE">
            <w:pPr>
              <w:rPr>
                <w:rFonts w:asciiTheme="minorHAnsi" w:eastAsia="Yu Gothic UI" w:hAnsiTheme="minorHAnsi" w:cs="Calibri"/>
                <w:b/>
                <w:sz w:val="20"/>
                <w:szCs w:val="20"/>
              </w:rPr>
            </w:pPr>
            <w:r w:rsidRPr="00331FA0">
              <w:rPr>
                <w:rFonts w:asciiTheme="minorHAnsi" w:eastAsia="Yu Gothic" w:hAnsiTheme="minorHAnsi" w:cs="Calibri"/>
                <w:sz w:val="20"/>
                <w:szCs w:val="20"/>
              </w:rPr>
              <w:t xml:space="preserve"> E: </w:t>
            </w:r>
            <w:hyperlink r:id="rId5" w:history="1">
              <w:r w:rsidRPr="00331FA0">
                <w:rPr>
                  <w:rFonts w:asciiTheme="minorHAnsi" w:eastAsia="Yu Gothic" w:hAnsiTheme="minorHAnsi" w:cs="Calibri"/>
                  <w:color w:val="0000FF"/>
                  <w:sz w:val="20"/>
                  <w:szCs w:val="20"/>
                  <w:u w:val="single"/>
                </w:rPr>
                <w:t>mok@kranj.si</w:t>
              </w:r>
            </w:hyperlink>
            <w:r w:rsidRPr="00331FA0">
              <w:rPr>
                <w:rFonts w:asciiTheme="minorHAnsi" w:eastAsia="Yu Gothic" w:hAnsiTheme="minorHAnsi" w:cs="Calibri"/>
                <w:sz w:val="20"/>
                <w:szCs w:val="20"/>
              </w:rPr>
              <w:t xml:space="preserve">   S: </w:t>
            </w:r>
            <w:hyperlink r:id="rId6" w:history="1">
              <w:r w:rsidRPr="00331FA0">
                <w:rPr>
                  <w:rFonts w:asciiTheme="minorHAnsi" w:eastAsia="Yu Gothic" w:hAnsiTheme="minorHAnsi" w:cs="Calibri"/>
                  <w:color w:val="0000FF"/>
                  <w:sz w:val="20"/>
                  <w:szCs w:val="20"/>
                  <w:u w:val="single"/>
                </w:rPr>
                <w:t>www.kranj.si</w:t>
              </w:r>
            </w:hyperlink>
          </w:p>
        </w:tc>
      </w:tr>
    </w:tbl>
    <w:p w:rsidR="002A404C" w:rsidRDefault="002A404C" w:rsidP="002A404C">
      <w:pPr>
        <w:spacing w:line="276" w:lineRule="auto"/>
        <w:jc w:val="both"/>
        <w:rPr>
          <w:rFonts w:asciiTheme="minorHAnsi" w:hAnsiTheme="minorHAnsi" w:cs="Arial"/>
          <w:sz w:val="20"/>
          <w:szCs w:val="20"/>
        </w:rPr>
      </w:pPr>
    </w:p>
    <w:p w:rsidR="002A404C" w:rsidRPr="00331FA0" w:rsidRDefault="002A404C" w:rsidP="002A404C">
      <w:pPr>
        <w:spacing w:line="276" w:lineRule="auto"/>
        <w:jc w:val="both"/>
        <w:rPr>
          <w:rFonts w:asciiTheme="minorHAnsi" w:hAnsiTheme="minorHAnsi" w:cs="Arial"/>
          <w:sz w:val="20"/>
          <w:szCs w:val="20"/>
        </w:rPr>
      </w:pPr>
    </w:p>
    <w:p w:rsidR="002A404C" w:rsidRPr="00331FA0" w:rsidRDefault="002A404C" w:rsidP="002A404C">
      <w:pPr>
        <w:tabs>
          <w:tab w:val="center" w:pos="4536"/>
        </w:tabs>
        <w:spacing w:line="276" w:lineRule="auto"/>
        <w:jc w:val="both"/>
        <w:rPr>
          <w:rFonts w:asciiTheme="minorHAnsi" w:hAnsiTheme="minorHAnsi" w:cs="Arial"/>
          <w:sz w:val="20"/>
          <w:szCs w:val="20"/>
        </w:rPr>
      </w:pPr>
      <w:r w:rsidRPr="00331FA0">
        <w:rPr>
          <w:rFonts w:asciiTheme="minorHAnsi" w:hAnsiTheme="minorHAnsi" w:cs="Arial"/>
          <w:sz w:val="20"/>
          <w:szCs w:val="20"/>
        </w:rPr>
        <w:t>Številka: 350-68/2017-33</w:t>
      </w:r>
    </w:p>
    <w:p w:rsidR="002A404C" w:rsidRPr="00331FA0" w:rsidRDefault="002A404C" w:rsidP="002A404C">
      <w:pPr>
        <w:spacing w:line="276" w:lineRule="auto"/>
        <w:jc w:val="both"/>
        <w:rPr>
          <w:rFonts w:asciiTheme="minorHAnsi" w:hAnsiTheme="minorHAnsi" w:cs="Arial"/>
          <w:sz w:val="20"/>
          <w:szCs w:val="20"/>
        </w:rPr>
      </w:pPr>
      <w:r w:rsidRPr="00331FA0">
        <w:rPr>
          <w:rFonts w:asciiTheme="minorHAnsi" w:hAnsiTheme="minorHAnsi" w:cs="Arial"/>
          <w:sz w:val="20"/>
          <w:szCs w:val="20"/>
        </w:rPr>
        <w:t>Kranj:             21. 8. 2018</w:t>
      </w:r>
    </w:p>
    <w:p w:rsidR="002A404C" w:rsidRPr="00331FA0" w:rsidRDefault="002A404C" w:rsidP="002A404C">
      <w:pPr>
        <w:spacing w:line="276" w:lineRule="auto"/>
        <w:jc w:val="both"/>
        <w:rPr>
          <w:rFonts w:asciiTheme="minorHAnsi" w:hAnsiTheme="minorHAnsi" w:cs="Arial"/>
          <w:sz w:val="20"/>
          <w:szCs w:val="20"/>
        </w:rPr>
      </w:pPr>
    </w:p>
    <w:p w:rsidR="002A404C" w:rsidRDefault="002A404C" w:rsidP="002A404C">
      <w:pPr>
        <w:spacing w:line="276" w:lineRule="auto"/>
        <w:jc w:val="both"/>
        <w:rPr>
          <w:rFonts w:asciiTheme="minorHAnsi" w:hAnsiTheme="minorHAnsi" w:cs="Arial"/>
          <w:sz w:val="20"/>
          <w:szCs w:val="20"/>
        </w:rPr>
      </w:pPr>
    </w:p>
    <w:p w:rsidR="002A404C" w:rsidRPr="00331FA0" w:rsidRDefault="002A404C" w:rsidP="002A404C">
      <w:pPr>
        <w:spacing w:line="276" w:lineRule="auto"/>
        <w:jc w:val="both"/>
        <w:rPr>
          <w:rFonts w:asciiTheme="minorHAnsi" w:hAnsiTheme="minorHAnsi" w:cs="Arial"/>
          <w:sz w:val="20"/>
          <w:szCs w:val="20"/>
        </w:rPr>
      </w:pPr>
    </w:p>
    <w:p w:rsidR="002A404C" w:rsidRPr="00331FA0" w:rsidRDefault="002A404C" w:rsidP="002A404C">
      <w:pPr>
        <w:spacing w:line="276" w:lineRule="auto"/>
        <w:jc w:val="both"/>
        <w:rPr>
          <w:rFonts w:asciiTheme="minorHAnsi" w:hAnsiTheme="minorHAnsi" w:cs="Arial"/>
          <w:sz w:val="20"/>
          <w:szCs w:val="20"/>
        </w:rPr>
      </w:pPr>
      <w:r w:rsidRPr="00331FA0">
        <w:rPr>
          <w:rFonts w:asciiTheme="minorHAnsi" w:hAnsiTheme="minorHAnsi" w:cs="Arial"/>
          <w:sz w:val="20"/>
          <w:szCs w:val="20"/>
        </w:rPr>
        <w:t>Na podlagi 112. člena v povezavi s 1. odstavkom 119. člena Zakona o urejanju prostora (Uradni list RS, št. 61/17) je Mestna občina Kranj proučila pripombe in predloge javnosti ter zavzela:</w:t>
      </w:r>
    </w:p>
    <w:p w:rsidR="002A404C" w:rsidRDefault="002A404C" w:rsidP="002A404C">
      <w:pPr>
        <w:spacing w:line="276" w:lineRule="auto"/>
        <w:jc w:val="both"/>
        <w:rPr>
          <w:rFonts w:asciiTheme="minorHAnsi" w:hAnsiTheme="minorHAnsi" w:cs="Arial"/>
          <w:sz w:val="20"/>
          <w:szCs w:val="20"/>
        </w:rPr>
      </w:pPr>
    </w:p>
    <w:p w:rsidR="002A404C" w:rsidRDefault="002A404C" w:rsidP="002A404C">
      <w:pPr>
        <w:spacing w:line="276" w:lineRule="auto"/>
        <w:jc w:val="both"/>
        <w:rPr>
          <w:rFonts w:asciiTheme="minorHAnsi" w:hAnsiTheme="minorHAnsi" w:cs="Arial"/>
          <w:sz w:val="20"/>
          <w:szCs w:val="20"/>
        </w:rPr>
      </w:pPr>
    </w:p>
    <w:p w:rsidR="002A404C" w:rsidRPr="00331FA0" w:rsidRDefault="002A404C" w:rsidP="002A404C">
      <w:pPr>
        <w:spacing w:line="276" w:lineRule="auto"/>
        <w:jc w:val="both"/>
        <w:rPr>
          <w:rFonts w:asciiTheme="minorHAnsi" w:hAnsiTheme="minorHAnsi" w:cs="Arial"/>
          <w:sz w:val="20"/>
          <w:szCs w:val="20"/>
        </w:rPr>
      </w:pPr>
    </w:p>
    <w:p w:rsidR="002A404C" w:rsidRPr="00331FA0" w:rsidRDefault="002A404C" w:rsidP="002A404C">
      <w:pPr>
        <w:pStyle w:val="Brezrazmikov"/>
        <w:jc w:val="center"/>
        <w:rPr>
          <w:rFonts w:asciiTheme="minorHAnsi" w:hAnsiTheme="minorHAnsi" w:cs="Arial"/>
          <w:b/>
          <w:sz w:val="20"/>
          <w:szCs w:val="20"/>
        </w:rPr>
      </w:pPr>
      <w:r w:rsidRPr="00331FA0">
        <w:rPr>
          <w:rFonts w:asciiTheme="minorHAnsi" w:hAnsiTheme="minorHAnsi" w:cs="Arial"/>
          <w:b/>
          <w:sz w:val="20"/>
          <w:szCs w:val="20"/>
        </w:rPr>
        <w:t>STALIŠČA DO PRIPOMB IN PREDLOGOV K DOPOLNJENEMU OSNUTKU OPPN ZA PRESELITEV KMETIJSKEGA GOSPODARSTVA LOGAR</w:t>
      </w:r>
    </w:p>
    <w:p w:rsidR="002A404C" w:rsidRDefault="002A404C" w:rsidP="002A404C">
      <w:pPr>
        <w:pStyle w:val="Brezrazmikov"/>
        <w:jc w:val="both"/>
        <w:rPr>
          <w:rFonts w:asciiTheme="minorHAnsi" w:hAnsiTheme="minorHAnsi" w:cs="Arial"/>
          <w:sz w:val="20"/>
          <w:szCs w:val="20"/>
        </w:rPr>
      </w:pPr>
    </w:p>
    <w:p w:rsidR="002A404C" w:rsidRDefault="002A404C" w:rsidP="002A404C">
      <w:pPr>
        <w:pStyle w:val="Brezrazmikov"/>
        <w:jc w:val="both"/>
        <w:rPr>
          <w:rFonts w:asciiTheme="minorHAnsi" w:hAnsiTheme="minorHAnsi" w:cs="Arial"/>
          <w:sz w:val="20"/>
          <w:szCs w:val="20"/>
        </w:rPr>
      </w:pPr>
    </w:p>
    <w:p w:rsidR="002A404C" w:rsidRPr="00331FA0" w:rsidRDefault="002A404C" w:rsidP="002A404C">
      <w:pPr>
        <w:pStyle w:val="Brezrazmikov"/>
        <w:jc w:val="both"/>
        <w:rPr>
          <w:rFonts w:asciiTheme="minorHAnsi" w:hAnsiTheme="minorHAnsi" w:cs="Arial"/>
          <w:sz w:val="20"/>
          <w:szCs w:val="20"/>
        </w:rPr>
      </w:pPr>
    </w:p>
    <w:p w:rsidR="002A404C" w:rsidRPr="00331FA0" w:rsidRDefault="002A404C" w:rsidP="002A404C">
      <w:pPr>
        <w:pStyle w:val="Brezrazmikov"/>
        <w:jc w:val="both"/>
        <w:rPr>
          <w:rFonts w:asciiTheme="minorHAnsi" w:hAnsiTheme="minorHAnsi" w:cs="Arial"/>
          <w:sz w:val="20"/>
          <w:szCs w:val="20"/>
        </w:rPr>
      </w:pPr>
      <w:r w:rsidRPr="00331FA0">
        <w:rPr>
          <w:rFonts w:asciiTheme="minorHAnsi" w:hAnsiTheme="minorHAnsi" w:cs="Arial"/>
          <w:sz w:val="20"/>
          <w:szCs w:val="20"/>
        </w:rPr>
        <w:t>Pripombe na dopolnjen osnutek OPPN za preselitev kmetijskega gospodarstva Logar, iz javne razgrnitve, ki je potekala od 9. julija 2018 do 10. avgusta 2018 in javne obravnave, ki se je vršila dne 18. julija 2018 ob 16. uri v prostorih Mestne občine Kranj:</w:t>
      </w:r>
    </w:p>
    <w:p w:rsidR="002A404C" w:rsidRDefault="002A404C" w:rsidP="002A404C">
      <w:pPr>
        <w:pStyle w:val="Brezrazmikov"/>
        <w:jc w:val="both"/>
        <w:rPr>
          <w:rFonts w:asciiTheme="minorHAnsi" w:hAnsiTheme="minorHAnsi" w:cs="Arial"/>
          <w:sz w:val="20"/>
          <w:szCs w:val="20"/>
        </w:rPr>
      </w:pPr>
    </w:p>
    <w:p w:rsidR="002A404C" w:rsidRPr="00331FA0" w:rsidRDefault="002A404C" w:rsidP="002A404C">
      <w:pPr>
        <w:pStyle w:val="Brezrazmikov"/>
        <w:jc w:val="both"/>
        <w:rPr>
          <w:rFonts w:asciiTheme="minorHAnsi" w:hAnsiTheme="minorHAnsi" w:cs="Arial"/>
          <w:sz w:val="20"/>
          <w:szCs w:val="20"/>
        </w:rPr>
      </w:pPr>
    </w:p>
    <w:p w:rsidR="002A404C" w:rsidRPr="00331FA0" w:rsidRDefault="002A404C" w:rsidP="002A404C">
      <w:pPr>
        <w:pStyle w:val="Brezrazmikov"/>
        <w:jc w:val="both"/>
        <w:rPr>
          <w:rFonts w:asciiTheme="minorHAnsi" w:hAnsiTheme="minorHAnsi" w:cs="Arial"/>
          <w:sz w:val="20"/>
          <w:szCs w:val="20"/>
        </w:rPr>
      </w:pPr>
    </w:p>
    <w:tbl>
      <w:tblPr>
        <w:tblW w:w="0" w:type="auto"/>
        <w:tblLook w:val="01E0" w:firstRow="1" w:lastRow="1" w:firstColumn="1" w:lastColumn="1" w:noHBand="0" w:noVBand="0"/>
      </w:tblPr>
      <w:tblGrid>
        <w:gridCol w:w="2238"/>
        <w:gridCol w:w="6834"/>
      </w:tblGrid>
      <w:tr w:rsidR="002A404C" w:rsidRPr="00331FA0" w:rsidTr="00A009EE">
        <w:trPr>
          <w:trHeight w:val="529"/>
        </w:trPr>
        <w:tc>
          <w:tcPr>
            <w:tcW w:w="2298" w:type="dxa"/>
            <w:tcBorders>
              <w:top w:val="thinThickSmallGap" w:sz="24" w:space="0" w:color="auto"/>
              <w:bottom w:val="single" w:sz="4" w:space="0" w:color="auto"/>
            </w:tcBorders>
          </w:tcPr>
          <w:p w:rsidR="002A404C" w:rsidRPr="00331FA0" w:rsidRDefault="002A404C" w:rsidP="00A009EE">
            <w:pPr>
              <w:tabs>
                <w:tab w:val="left" w:pos="1260"/>
              </w:tabs>
              <w:rPr>
                <w:rFonts w:asciiTheme="minorHAnsi" w:hAnsiTheme="minorHAnsi" w:cs="Arial"/>
                <w:sz w:val="20"/>
                <w:szCs w:val="20"/>
              </w:rPr>
            </w:pPr>
            <w:r w:rsidRPr="00331FA0">
              <w:rPr>
                <w:rFonts w:asciiTheme="minorHAnsi" w:hAnsiTheme="minorHAnsi" w:cs="Arial"/>
                <w:sz w:val="20"/>
                <w:szCs w:val="20"/>
              </w:rPr>
              <w:t>Številka pripombe</w:t>
            </w:r>
          </w:p>
        </w:tc>
        <w:tc>
          <w:tcPr>
            <w:tcW w:w="6990" w:type="dxa"/>
            <w:tcBorders>
              <w:top w:val="thinThickSmallGap" w:sz="24" w:space="0" w:color="auto"/>
              <w:bottom w:val="single" w:sz="4" w:space="0" w:color="auto"/>
            </w:tcBorders>
          </w:tcPr>
          <w:p w:rsidR="002A404C" w:rsidRPr="00331FA0" w:rsidRDefault="002A404C" w:rsidP="00A009EE">
            <w:pPr>
              <w:rPr>
                <w:rFonts w:asciiTheme="minorHAnsi" w:hAnsiTheme="minorHAnsi" w:cs="Arial"/>
                <w:sz w:val="20"/>
                <w:szCs w:val="20"/>
              </w:rPr>
            </w:pPr>
            <w:r w:rsidRPr="00331FA0">
              <w:rPr>
                <w:rFonts w:asciiTheme="minorHAnsi" w:hAnsiTheme="minorHAnsi" w:cs="Arial"/>
                <w:sz w:val="20"/>
                <w:szCs w:val="20"/>
              </w:rPr>
              <w:t>1</w:t>
            </w:r>
          </w:p>
        </w:tc>
      </w:tr>
      <w:tr w:rsidR="002A404C" w:rsidRPr="00331FA0" w:rsidTr="00A009EE">
        <w:tc>
          <w:tcPr>
            <w:tcW w:w="2298" w:type="dxa"/>
            <w:tcBorders>
              <w:top w:val="single" w:sz="4" w:space="0" w:color="auto"/>
              <w:bottom w:val="single" w:sz="4" w:space="0" w:color="auto"/>
            </w:tcBorders>
          </w:tcPr>
          <w:p w:rsidR="002A404C" w:rsidRPr="00331FA0" w:rsidRDefault="002A404C" w:rsidP="00A009EE">
            <w:pPr>
              <w:tabs>
                <w:tab w:val="left" w:pos="1260"/>
              </w:tabs>
              <w:rPr>
                <w:rFonts w:asciiTheme="minorHAnsi" w:hAnsiTheme="minorHAnsi" w:cs="Arial"/>
                <w:sz w:val="20"/>
                <w:szCs w:val="20"/>
              </w:rPr>
            </w:pPr>
            <w:r w:rsidRPr="00331FA0">
              <w:rPr>
                <w:rFonts w:asciiTheme="minorHAnsi" w:hAnsiTheme="minorHAnsi" w:cs="Arial"/>
                <w:sz w:val="20"/>
                <w:szCs w:val="20"/>
              </w:rPr>
              <w:t>Pripomba podana</w:t>
            </w:r>
          </w:p>
        </w:tc>
        <w:tc>
          <w:tcPr>
            <w:tcW w:w="6990" w:type="dxa"/>
            <w:tcBorders>
              <w:top w:val="single" w:sz="4" w:space="0" w:color="auto"/>
              <w:bottom w:val="single" w:sz="4" w:space="0" w:color="auto"/>
            </w:tcBorders>
          </w:tcPr>
          <w:p w:rsidR="002A404C" w:rsidRPr="00331FA0" w:rsidRDefault="002A404C" w:rsidP="00A009EE">
            <w:pPr>
              <w:rPr>
                <w:rFonts w:asciiTheme="minorHAnsi" w:hAnsiTheme="minorHAnsi" w:cs="Arial"/>
                <w:sz w:val="20"/>
                <w:szCs w:val="20"/>
              </w:rPr>
            </w:pPr>
            <w:r w:rsidRPr="00331FA0">
              <w:rPr>
                <w:rFonts w:asciiTheme="minorHAnsi" w:hAnsiTheme="minorHAnsi" w:cs="Arial"/>
                <w:sz w:val="20"/>
                <w:szCs w:val="20"/>
              </w:rPr>
              <w:t>v času javne razgrnitve na elektronski naslov: mok@kranj.si</w:t>
            </w:r>
          </w:p>
        </w:tc>
      </w:tr>
      <w:tr w:rsidR="002A404C" w:rsidRPr="00331FA0" w:rsidTr="00A009EE">
        <w:tc>
          <w:tcPr>
            <w:tcW w:w="2298" w:type="dxa"/>
            <w:tcBorders>
              <w:top w:val="single" w:sz="4" w:space="0" w:color="auto"/>
              <w:bottom w:val="single" w:sz="4" w:space="0" w:color="auto"/>
            </w:tcBorders>
          </w:tcPr>
          <w:p w:rsidR="002A404C" w:rsidRPr="00331FA0" w:rsidRDefault="002A404C" w:rsidP="00A009EE">
            <w:pPr>
              <w:tabs>
                <w:tab w:val="left" w:pos="1260"/>
              </w:tabs>
              <w:rPr>
                <w:rFonts w:asciiTheme="minorHAnsi" w:hAnsiTheme="minorHAnsi" w:cs="Arial"/>
                <w:sz w:val="20"/>
                <w:szCs w:val="20"/>
              </w:rPr>
            </w:pPr>
            <w:r w:rsidRPr="00331FA0">
              <w:rPr>
                <w:rFonts w:asciiTheme="minorHAnsi" w:hAnsiTheme="minorHAnsi" w:cs="Arial"/>
                <w:sz w:val="20"/>
                <w:szCs w:val="20"/>
              </w:rPr>
              <w:t>Pripombo podal</w:t>
            </w:r>
          </w:p>
        </w:tc>
        <w:tc>
          <w:tcPr>
            <w:tcW w:w="6990" w:type="dxa"/>
            <w:tcBorders>
              <w:top w:val="single" w:sz="4" w:space="0" w:color="auto"/>
              <w:bottom w:val="single" w:sz="4" w:space="0" w:color="auto"/>
            </w:tcBorders>
          </w:tcPr>
          <w:p w:rsidR="002A404C" w:rsidRPr="00331FA0" w:rsidRDefault="002A404C" w:rsidP="00A009EE">
            <w:pPr>
              <w:rPr>
                <w:rFonts w:asciiTheme="minorHAnsi" w:hAnsiTheme="minorHAnsi" w:cs="Arial"/>
                <w:sz w:val="20"/>
                <w:szCs w:val="20"/>
              </w:rPr>
            </w:pPr>
          </w:p>
        </w:tc>
      </w:tr>
      <w:tr w:rsidR="002A404C" w:rsidRPr="00331FA0" w:rsidTr="00A009EE">
        <w:tc>
          <w:tcPr>
            <w:tcW w:w="2298" w:type="dxa"/>
            <w:tcBorders>
              <w:top w:val="single" w:sz="4" w:space="0" w:color="auto"/>
              <w:bottom w:val="single" w:sz="4" w:space="0" w:color="auto"/>
            </w:tcBorders>
          </w:tcPr>
          <w:p w:rsidR="002A404C" w:rsidRPr="00331FA0" w:rsidRDefault="002A404C" w:rsidP="00A009EE">
            <w:pPr>
              <w:tabs>
                <w:tab w:val="left" w:pos="1260"/>
              </w:tabs>
              <w:rPr>
                <w:rFonts w:asciiTheme="minorHAnsi" w:hAnsiTheme="minorHAnsi" w:cs="Arial"/>
                <w:sz w:val="20"/>
                <w:szCs w:val="20"/>
              </w:rPr>
            </w:pPr>
            <w:r w:rsidRPr="00331FA0">
              <w:rPr>
                <w:rFonts w:asciiTheme="minorHAnsi" w:hAnsiTheme="minorHAnsi" w:cs="Arial"/>
                <w:sz w:val="20"/>
                <w:szCs w:val="20"/>
              </w:rPr>
              <w:t>Datum</w:t>
            </w:r>
          </w:p>
        </w:tc>
        <w:tc>
          <w:tcPr>
            <w:tcW w:w="6990" w:type="dxa"/>
            <w:tcBorders>
              <w:top w:val="single" w:sz="4" w:space="0" w:color="auto"/>
              <w:bottom w:val="single" w:sz="4" w:space="0" w:color="auto"/>
            </w:tcBorders>
          </w:tcPr>
          <w:p w:rsidR="002A404C" w:rsidRPr="00331FA0" w:rsidRDefault="002A404C" w:rsidP="00A009EE">
            <w:pPr>
              <w:rPr>
                <w:rFonts w:asciiTheme="minorHAnsi" w:hAnsiTheme="minorHAnsi" w:cs="Arial"/>
                <w:sz w:val="20"/>
                <w:szCs w:val="20"/>
              </w:rPr>
            </w:pPr>
            <w:r w:rsidRPr="00331FA0">
              <w:rPr>
                <w:rFonts w:asciiTheme="minorHAnsi" w:hAnsiTheme="minorHAnsi" w:cs="Arial"/>
                <w:sz w:val="20"/>
                <w:szCs w:val="20"/>
              </w:rPr>
              <w:t>9.8.2018</w:t>
            </w:r>
          </w:p>
        </w:tc>
      </w:tr>
      <w:tr w:rsidR="002A404C" w:rsidRPr="00331FA0" w:rsidTr="00A009EE">
        <w:tc>
          <w:tcPr>
            <w:tcW w:w="2298" w:type="dxa"/>
            <w:tcBorders>
              <w:top w:val="single" w:sz="4" w:space="0" w:color="auto"/>
              <w:bottom w:val="single" w:sz="4" w:space="0" w:color="auto"/>
            </w:tcBorders>
          </w:tcPr>
          <w:p w:rsidR="002A404C" w:rsidRPr="00331FA0" w:rsidRDefault="002A404C" w:rsidP="00A009EE">
            <w:pPr>
              <w:tabs>
                <w:tab w:val="left" w:pos="1260"/>
              </w:tabs>
              <w:rPr>
                <w:rFonts w:asciiTheme="minorHAnsi" w:hAnsiTheme="minorHAnsi" w:cs="Arial"/>
                <w:sz w:val="20"/>
                <w:szCs w:val="20"/>
              </w:rPr>
            </w:pPr>
            <w:r w:rsidRPr="00331FA0">
              <w:rPr>
                <w:rFonts w:asciiTheme="minorHAnsi" w:hAnsiTheme="minorHAnsi" w:cs="Arial"/>
                <w:sz w:val="20"/>
                <w:szCs w:val="20"/>
              </w:rPr>
              <w:t>Povzetek pripombe</w:t>
            </w:r>
          </w:p>
        </w:tc>
        <w:tc>
          <w:tcPr>
            <w:tcW w:w="6990" w:type="dxa"/>
            <w:tcBorders>
              <w:top w:val="single" w:sz="4" w:space="0" w:color="auto"/>
              <w:bottom w:val="single" w:sz="4" w:space="0" w:color="auto"/>
            </w:tcBorders>
          </w:tcPr>
          <w:p w:rsidR="002A404C" w:rsidRPr="00331FA0" w:rsidRDefault="002A404C" w:rsidP="00A009EE">
            <w:pPr>
              <w:jc w:val="both"/>
              <w:rPr>
                <w:rFonts w:asciiTheme="minorHAnsi" w:hAnsiTheme="minorHAnsi" w:cs="Arial"/>
                <w:b/>
                <w:sz w:val="20"/>
                <w:szCs w:val="20"/>
              </w:rPr>
            </w:pPr>
            <w:r w:rsidRPr="00331FA0">
              <w:rPr>
                <w:rFonts w:asciiTheme="minorHAnsi" w:hAnsiTheme="minorHAnsi" w:cs="Arial"/>
                <w:b/>
                <w:sz w:val="20"/>
                <w:szCs w:val="20"/>
              </w:rPr>
              <w:t>ROB GOZDA:</w:t>
            </w:r>
          </w:p>
          <w:p w:rsidR="002A404C" w:rsidRPr="00331FA0" w:rsidRDefault="002A404C" w:rsidP="00A009EE">
            <w:pPr>
              <w:jc w:val="both"/>
              <w:rPr>
                <w:rFonts w:asciiTheme="minorHAnsi" w:hAnsiTheme="minorHAnsi" w:cs="Arial"/>
                <w:sz w:val="20"/>
                <w:szCs w:val="20"/>
              </w:rPr>
            </w:pPr>
            <w:r w:rsidRPr="00331FA0">
              <w:rPr>
                <w:rFonts w:asciiTheme="minorHAnsi" w:hAnsiTheme="minorHAnsi" w:cs="Arial"/>
                <w:sz w:val="20"/>
                <w:szCs w:val="20"/>
              </w:rPr>
              <w:t xml:space="preserve">Najprej se mi je vtisnila v spomin interpretacija, kje naj bi stalo preseljeno kmetijsko gospodarstvo. Iz predstavitve in tudi grafične slike se trdi in navaja, da bo stalo ob robu gozda, ki leži vzhodno proti cesti Kokrica – Golnik, kar pa dejanskemu stanju v velikem delu ne ustreza. Sem lastnik parcele št. 334 – sedaj po novi ureditvi </w:t>
            </w:r>
            <w:proofErr w:type="spellStart"/>
            <w:r w:rsidRPr="00331FA0">
              <w:rPr>
                <w:rFonts w:asciiTheme="minorHAnsi" w:hAnsiTheme="minorHAnsi" w:cs="Arial"/>
                <w:sz w:val="20"/>
                <w:szCs w:val="20"/>
              </w:rPr>
              <w:t>parc</w:t>
            </w:r>
            <w:proofErr w:type="spellEnd"/>
            <w:r w:rsidRPr="00331FA0">
              <w:rPr>
                <w:rFonts w:asciiTheme="minorHAnsi" w:hAnsiTheme="minorHAnsi" w:cs="Arial"/>
                <w:sz w:val="20"/>
                <w:szCs w:val="20"/>
              </w:rPr>
              <w:t>. št. 334/1 in 334/2. Ti dve parceli sta sedaj v naravi travnika, v času pred približno 125 leti, ko jih je pridobil moj ded in so bile neprekinjeno v lasti mojih pravnih predhodnikov, pa je bila tukaj skoraj v celotnem delu njiva. Na tej parceli se je v preteklosti veliko vlagalo in izboljševalo saj je šele za časa posredovanja mojega očeta le-ta parcela prešla iz njive v travnik. Tudi moj pravni predhodnik je redno opravljal kmetijsko dejavnost, kot tudi jaz, kot njegov pravni naslednik. Opredeljena dejavnost je bila tedaj zaščitena kmetija. Pred desetletjem pa je bil po tedanjih zahtevah pridobljen še status kmeta in so omenjene parcele zavedene in kontrolirane v kmetijskih vlogah pri ARSKTRP, kar lahko preverite tudi v vaših kmetijskih evidencah, ter imajo tudi svoje GERK številke.</w:t>
            </w:r>
          </w:p>
          <w:p w:rsidR="002A404C" w:rsidRPr="00331FA0" w:rsidRDefault="002A404C" w:rsidP="00A009EE">
            <w:pPr>
              <w:jc w:val="both"/>
              <w:rPr>
                <w:rFonts w:asciiTheme="minorHAnsi" w:hAnsiTheme="minorHAnsi" w:cs="Arial"/>
                <w:sz w:val="20"/>
                <w:szCs w:val="20"/>
              </w:rPr>
            </w:pPr>
            <w:r w:rsidRPr="00331FA0">
              <w:rPr>
                <w:rFonts w:asciiTheme="minorHAnsi" w:hAnsiTheme="minorHAnsi" w:cs="Arial"/>
                <w:sz w:val="20"/>
                <w:szCs w:val="20"/>
              </w:rPr>
              <w:t>Prikazana predstavitev moje parcele kot gozda mi ni razumljiva, še bolj nerazumljivo pa se mi zdi, da se s tem zavaja tudi našega gospoda župana in njegove upravne službe.</w:t>
            </w:r>
          </w:p>
          <w:p w:rsidR="002A404C" w:rsidRDefault="002A404C" w:rsidP="00A009EE">
            <w:pPr>
              <w:jc w:val="both"/>
              <w:rPr>
                <w:rFonts w:asciiTheme="minorHAnsi" w:hAnsiTheme="minorHAnsi" w:cs="Arial"/>
                <w:b/>
                <w:sz w:val="20"/>
                <w:szCs w:val="20"/>
              </w:rPr>
            </w:pPr>
          </w:p>
          <w:p w:rsidR="002A404C"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b/>
                <w:sz w:val="20"/>
                <w:szCs w:val="20"/>
              </w:rPr>
            </w:pPr>
            <w:r w:rsidRPr="00331FA0">
              <w:rPr>
                <w:rFonts w:asciiTheme="minorHAnsi" w:hAnsiTheme="minorHAnsi" w:cs="Arial"/>
                <w:b/>
                <w:sz w:val="20"/>
                <w:szCs w:val="20"/>
              </w:rPr>
              <w:t>DOSTOP NA JAVNO CESTO:</w:t>
            </w:r>
          </w:p>
          <w:p w:rsidR="002A404C" w:rsidRPr="00331FA0" w:rsidRDefault="002A404C" w:rsidP="00A009EE">
            <w:pPr>
              <w:jc w:val="both"/>
              <w:rPr>
                <w:rFonts w:asciiTheme="minorHAnsi" w:hAnsiTheme="minorHAnsi" w:cs="Arial"/>
                <w:sz w:val="20"/>
                <w:szCs w:val="20"/>
              </w:rPr>
            </w:pPr>
            <w:r w:rsidRPr="00331FA0">
              <w:rPr>
                <w:rFonts w:asciiTheme="minorHAnsi" w:hAnsiTheme="minorHAnsi" w:cs="Arial"/>
                <w:sz w:val="20"/>
                <w:szCs w:val="20"/>
              </w:rPr>
              <w:t xml:space="preserve">Tudi trditev, da se tako imenovano območje OPPN preko </w:t>
            </w:r>
            <w:proofErr w:type="spellStart"/>
            <w:r w:rsidRPr="00331FA0">
              <w:rPr>
                <w:rFonts w:asciiTheme="minorHAnsi" w:hAnsiTheme="minorHAnsi" w:cs="Arial"/>
                <w:sz w:val="20"/>
                <w:szCs w:val="20"/>
              </w:rPr>
              <w:t>nekategorizirane</w:t>
            </w:r>
            <w:proofErr w:type="spellEnd"/>
            <w:r w:rsidRPr="00331FA0">
              <w:rPr>
                <w:rFonts w:asciiTheme="minorHAnsi" w:hAnsiTheme="minorHAnsi" w:cs="Arial"/>
                <w:sz w:val="20"/>
                <w:szCs w:val="20"/>
              </w:rPr>
              <w:t xml:space="preserve"> poljske poti prometno navezuje na javno pot Letenice jug ne drži. Moja parcela št. 344/2 ni obremenjena z nobeno pravico oz. vožnja gradbenikov ali kaj podobnega ali vožnja blaga ali drugih kmetijskih surovin, proizvedenih npr. na Madžarskem ali kje drugje v EU. Prava resnica je ta, da so lastniki parcel pred obnovitvijo ceste Tenetiše – Goriče ali cestni upravi (lahko, da so se imenovali drugače) soglasja za potrebne posege ob cesti in tudi zahteve za ureditev dovozov oz. izvozov na obnovljeno cesto. Kolikor se spomnim so dobili </w:t>
            </w:r>
            <w:proofErr w:type="spellStart"/>
            <w:r w:rsidRPr="00331FA0">
              <w:rPr>
                <w:rFonts w:asciiTheme="minorHAnsi" w:hAnsiTheme="minorHAnsi" w:cs="Arial"/>
                <w:sz w:val="20"/>
                <w:szCs w:val="20"/>
              </w:rPr>
              <w:t>somejaši</w:t>
            </w:r>
            <w:proofErr w:type="spellEnd"/>
            <w:r w:rsidRPr="00331FA0">
              <w:rPr>
                <w:rFonts w:asciiTheme="minorHAnsi" w:hAnsiTheme="minorHAnsi" w:cs="Arial"/>
                <w:sz w:val="20"/>
                <w:szCs w:val="20"/>
              </w:rPr>
              <w:t xml:space="preserve"> ceste odškodnino in zemljiško ureditev. Kako so te povezave s cesto Kokrica - Golnik urejene se lepo vidi, če se pelješ po omenjeni cesti. Da naštejem samo delni primer kako je. Na odseku ceste Mlaka – Tenetiše (most na potoku </w:t>
            </w:r>
            <w:proofErr w:type="spellStart"/>
            <w:r w:rsidRPr="00331FA0">
              <w:rPr>
                <w:rFonts w:asciiTheme="minorHAnsi" w:hAnsiTheme="minorHAnsi" w:cs="Arial"/>
                <w:sz w:val="20"/>
                <w:szCs w:val="20"/>
              </w:rPr>
              <w:t>Golnišnica</w:t>
            </w:r>
            <w:proofErr w:type="spellEnd"/>
            <w:r w:rsidRPr="00331FA0">
              <w:rPr>
                <w:rFonts w:asciiTheme="minorHAnsi" w:hAnsiTheme="minorHAnsi" w:cs="Arial"/>
                <w:sz w:val="20"/>
                <w:szCs w:val="20"/>
              </w:rPr>
              <w:t xml:space="preserve"> na Mlaki in do mostu na </w:t>
            </w:r>
            <w:proofErr w:type="spellStart"/>
            <w:r w:rsidRPr="00331FA0">
              <w:rPr>
                <w:rFonts w:asciiTheme="minorHAnsi" w:hAnsiTheme="minorHAnsi" w:cs="Arial"/>
                <w:sz w:val="20"/>
                <w:szCs w:val="20"/>
              </w:rPr>
              <w:t>Parovnici</w:t>
            </w:r>
            <w:proofErr w:type="spellEnd"/>
            <w:r w:rsidRPr="00331FA0">
              <w:rPr>
                <w:rFonts w:asciiTheme="minorHAnsi" w:hAnsiTheme="minorHAnsi" w:cs="Arial"/>
                <w:sz w:val="20"/>
                <w:szCs w:val="20"/>
              </w:rPr>
              <w:t xml:space="preserve"> v Tenetišah) je skupno izdelanih oz. uporabnih 33 izvozov oz. dovozov na omenjeno cesto. Na odseku Tenetiše – Goriče (most na potoku </w:t>
            </w:r>
            <w:proofErr w:type="spellStart"/>
            <w:r w:rsidRPr="00331FA0">
              <w:rPr>
                <w:rFonts w:asciiTheme="minorHAnsi" w:hAnsiTheme="minorHAnsi" w:cs="Arial"/>
                <w:sz w:val="20"/>
                <w:szCs w:val="20"/>
              </w:rPr>
              <w:t>Parovnica</w:t>
            </w:r>
            <w:proofErr w:type="spellEnd"/>
            <w:r w:rsidRPr="00331FA0">
              <w:rPr>
                <w:rFonts w:asciiTheme="minorHAnsi" w:hAnsiTheme="minorHAnsi" w:cs="Arial"/>
                <w:sz w:val="20"/>
                <w:szCs w:val="20"/>
              </w:rPr>
              <w:t xml:space="preserve"> v Tenetišah in do mostu na potoku Goričica v Goričah) pa je skupno takih izvozov oz. uvozov 53. Nekaj teh dohodov na omenjeno parcelo imam tudi sam, zgoraj omenjeni g. Logar pa jih ima še znatno več od mene. Tudi za parcelo št. 343, 347/1 in 347/2 in druge iz tega kompleksa je cestna direkcija obnovila dostop do omenjenih parcel, tako kot je bilo oz. še precej boljše kot je bilo pred obnovitvijo omenjenega cestnega odseka. Parcela št. 343 v last g. Logarja v celotni dolžini meji na javno pot (cesto) in na tej parceli somu ob adaptaciji omenjenega cestnega odseka (Tenetiše-Goriče) izdelali celo dva dovozna priključka na zgoraj omenjeni zemljiški kompleks (drugega veliko kasneje kot je bila delana rekonstrukcija ceste). Iz tega se jasno vidi, da območje OPPN ima povezavo z javno potjo (cesto), samo uporabljati jo je treba in ne drugim povzročati škodo.</w:t>
            </w:r>
          </w:p>
          <w:p w:rsidR="002A404C"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b/>
                <w:sz w:val="20"/>
                <w:szCs w:val="20"/>
              </w:rPr>
            </w:pPr>
            <w:r w:rsidRPr="00331FA0">
              <w:rPr>
                <w:rFonts w:asciiTheme="minorHAnsi" w:hAnsiTheme="minorHAnsi" w:cs="Arial"/>
                <w:b/>
                <w:sz w:val="20"/>
                <w:szCs w:val="20"/>
              </w:rPr>
              <w:t>ODMIK OBJEKTOV/OSENČENJE:</w:t>
            </w:r>
          </w:p>
          <w:p w:rsidR="002A404C" w:rsidRPr="00331FA0" w:rsidRDefault="002A404C" w:rsidP="00A009EE">
            <w:pPr>
              <w:jc w:val="both"/>
              <w:rPr>
                <w:rFonts w:asciiTheme="minorHAnsi" w:hAnsiTheme="minorHAnsi" w:cs="Arial"/>
                <w:sz w:val="20"/>
                <w:szCs w:val="20"/>
              </w:rPr>
            </w:pPr>
            <w:r w:rsidRPr="00331FA0">
              <w:rPr>
                <w:rFonts w:asciiTheme="minorHAnsi" w:hAnsiTheme="minorHAnsi" w:cs="Arial"/>
                <w:sz w:val="20"/>
                <w:szCs w:val="20"/>
              </w:rPr>
              <w:t>Predvideni odmik objekta od moje parcele št. 344/2 se mi po tem kar se vidi na grafičnih slikah zdi popolnoma preveč blizu. Ob upoštevanju višine slemena (cca 12) in nekaj metrov odmika od meje to za mojo parcelo pomeni popolno degradacijo parcele in uničenje njene osnovne namembnosti, kateri služi sedaj. Povzročena senca in še drugi novi dodatni vplivi bodo v takšni meri vplivali na količino in kvaliteto pridelane krme, da se bo zaradi teh omenjenih vplivov lahko primerjala le še z slabo nekvalitetno krmo.</w:t>
            </w:r>
          </w:p>
          <w:p w:rsidR="002A404C"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b/>
                <w:sz w:val="20"/>
                <w:szCs w:val="20"/>
              </w:rPr>
            </w:pPr>
            <w:r w:rsidRPr="00331FA0">
              <w:rPr>
                <w:rFonts w:asciiTheme="minorHAnsi" w:hAnsiTheme="minorHAnsi" w:cs="Arial"/>
                <w:b/>
                <w:sz w:val="20"/>
                <w:szCs w:val="20"/>
              </w:rPr>
              <w:t>KOTA PRITLIČJA OBJEKTOV/DVORIŠČA in ODVODNJAVANJE:</w:t>
            </w:r>
          </w:p>
          <w:p w:rsidR="002A404C" w:rsidRPr="00331FA0" w:rsidRDefault="002A404C" w:rsidP="00A009EE">
            <w:pPr>
              <w:jc w:val="both"/>
              <w:rPr>
                <w:rFonts w:asciiTheme="minorHAnsi" w:hAnsiTheme="minorHAnsi" w:cs="Arial"/>
                <w:sz w:val="20"/>
                <w:szCs w:val="20"/>
              </w:rPr>
            </w:pPr>
            <w:r w:rsidRPr="00331FA0">
              <w:rPr>
                <w:rFonts w:asciiTheme="minorHAnsi" w:hAnsiTheme="minorHAnsi" w:cs="Arial"/>
                <w:sz w:val="20"/>
                <w:szCs w:val="20"/>
              </w:rPr>
              <w:t xml:space="preserve">V elaboratu tega OPPN se priporoča tudi višina talnega kompleksa. Na nekem delu pa se že predlaga kako naj se uredi </w:t>
            </w:r>
            <w:proofErr w:type="spellStart"/>
            <w:r w:rsidRPr="00331FA0">
              <w:rPr>
                <w:rFonts w:asciiTheme="minorHAnsi" w:hAnsiTheme="minorHAnsi" w:cs="Arial"/>
                <w:sz w:val="20"/>
                <w:szCs w:val="20"/>
              </w:rPr>
              <w:t>nabrežine</w:t>
            </w:r>
            <w:proofErr w:type="spellEnd"/>
            <w:r w:rsidRPr="00331FA0">
              <w:rPr>
                <w:rFonts w:asciiTheme="minorHAnsi" w:hAnsiTheme="minorHAnsi" w:cs="Arial"/>
                <w:sz w:val="20"/>
                <w:szCs w:val="20"/>
              </w:rPr>
              <w:t xml:space="preserve">, kar pomeni, da se sedanja talna višina, že vnaprej </w:t>
            </w:r>
            <w:proofErr w:type="spellStart"/>
            <w:r w:rsidRPr="00331FA0">
              <w:rPr>
                <w:rFonts w:asciiTheme="minorHAnsi" w:hAnsiTheme="minorHAnsi" w:cs="Arial"/>
                <w:sz w:val="20"/>
                <w:szCs w:val="20"/>
              </w:rPr>
              <w:t>potiho</w:t>
            </w:r>
            <w:proofErr w:type="spellEnd"/>
            <w:r w:rsidRPr="00331FA0">
              <w:rPr>
                <w:rFonts w:asciiTheme="minorHAnsi" w:hAnsiTheme="minorHAnsi" w:cs="Arial"/>
                <w:sz w:val="20"/>
                <w:szCs w:val="20"/>
              </w:rPr>
              <w:t xml:space="preserve"> predvideva, da se lahko dvigne na nedoločeno višino. Sedanja lega moje parcele je taka, da zaradi naravne konfiguracije terena meteorna in padavinska voda nista problem in jih takoj ni. </w:t>
            </w:r>
          </w:p>
          <w:p w:rsidR="002A404C"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b/>
                <w:sz w:val="20"/>
                <w:szCs w:val="20"/>
              </w:rPr>
            </w:pPr>
            <w:r w:rsidRPr="00331FA0">
              <w:rPr>
                <w:rFonts w:asciiTheme="minorHAnsi" w:hAnsiTheme="minorHAnsi" w:cs="Arial"/>
                <w:b/>
                <w:sz w:val="20"/>
                <w:szCs w:val="20"/>
              </w:rPr>
              <w:t>OGRAJEVANJE KOMPLEKSA:</w:t>
            </w:r>
          </w:p>
          <w:p w:rsidR="002A404C" w:rsidRPr="00331FA0" w:rsidRDefault="002A404C" w:rsidP="00A009EE">
            <w:pPr>
              <w:jc w:val="both"/>
              <w:rPr>
                <w:rFonts w:asciiTheme="minorHAnsi" w:hAnsiTheme="minorHAnsi" w:cs="Arial"/>
                <w:sz w:val="20"/>
                <w:szCs w:val="20"/>
              </w:rPr>
            </w:pPr>
            <w:r w:rsidRPr="00331FA0">
              <w:rPr>
                <w:rFonts w:asciiTheme="minorHAnsi" w:hAnsiTheme="minorHAnsi" w:cs="Arial"/>
                <w:sz w:val="20"/>
                <w:szCs w:val="20"/>
              </w:rPr>
              <w:t xml:space="preserve">V oblikovanju okolice objektov se omenja tudi </w:t>
            </w:r>
            <w:proofErr w:type="spellStart"/>
            <w:r w:rsidRPr="00331FA0">
              <w:rPr>
                <w:rFonts w:asciiTheme="minorHAnsi" w:hAnsiTheme="minorHAnsi" w:cs="Arial"/>
                <w:sz w:val="20"/>
                <w:szCs w:val="20"/>
              </w:rPr>
              <w:t>medposestne</w:t>
            </w:r>
            <w:proofErr w:type="spellEnd"/>
            <w:r w:rsidRPr="00331FA0">
              <w:rPr>
                <w:rFonts w:asciiTheme="minorHAnsi" w:hAnsiTheme="minorHAnsi" w:cs="Arial"/>
                <w:sz w:val="20"/>
                <w:szCs w:val="20"/>
              </w:rPr>
              <w:t xml:space="preserve"> ograje. Omenja se, da se lahko postavijo do meje zemljiških parcel. Vsak resen načrtovalec bi moral vedeti, da se današnji kmetijski priključki zaradi svoje tehnične izvedbe pogosto segajo preko koles na podvozju, tako, da voziš po svojem zemljišču priključek pa po zraku pogosto seže preko, brez da bi napravil </w:t>
            </w:r>
            <w:proofErr w:type="spellStart"/>
            <w:r w:rsidRPr="00331FA0">
              <w:rPr>
                <w:rFonts w:asciiTheme="minorHAnsi" w:hAnsiTheme="minorHAnsi" w:cs="Arial"/>
                <w:sz w:val="20"/>
                <w:szCs w:val="20"/>
              </w:rPr>
              <w:t>somejaču</w:t>
            </w:r>
            <w:proofErr w:type="spellEnd"/>
            <w:r w:rsidRPr="00331FA0">
              <w:rPr>
                <w:rFonts w:asciiTheme="minorHAnsi" w:hAnsiTheme="minorHAnsi" w:cs="Arial"/>
                <w:sz w:val="20"/>
                <w:szCs w:val="20"/>
              </w:rPr>
              <w:t xml:space="preserve"> škodo. So pa tudi taki priključki, ki ob uporabi ne dosežejo svoje zaščite in je ob delu do meje potem potrebno še zamudno ročno delo. Ob upoštevanju zgornjih navodil o umestitvi ograj med parcelami, bi to pomenilo v nadaljevanju omenjene prakse nešteto ograj med parcelami na njivah, travnikih, v gozdovih itd. kar vse bi pripeljalo do kaosa nepredvidljivih razsežnosti. Treba pa je vedeti, da bi najkrajšo potegnili veliki kmetje, ker razpolagajo z velikimi priključki, ki so še bolj togi za vodenje oz. delo z njimi.</w:t>
            </w:r>
          </w:p>
          <w:p w:rsidR="002A404C" w:rsidRDefault="002A404C" w:rsidP="00A009EE">
            <w:pPr>
              <w:jc w:val="both"/>
              <w:rPr>
                <w:rFonts w:asciiTheme="minorHAnsi" w:hAnsiTheme="minorHAnsi" w:cs="Arial"/>
                <w:b/>
                <w:sz w:val="20"/>
                <w:szCs w:val="20"/>
              </w:rPr>
            </w:pPr>
          </w:p>
          <w:p w:rsidR="002A404C"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b/>
                <w:sz w:val="20"/>
                <w:szCs w:val="20"/>
              </w:rPr>
            </w:pPr>
            <w:r w:rsidRPr="00331FA0">
              <w:rPr>
                <w:rFonts w:asciiTheme="minorHAnsi" w:hAnsiTheme="minorHAnsi" w:cs="Arial"/>
                <w:b/>
                <w:sz w:val="20"/>
                <w:szCs w:val="20"/>
              </w:rPr>
              <w:t>ZAZALENITEV KOMPLEKSA:</w:t>
            </w:r>
          </w:p>
          <w:p w:rsidR="002A404C" w:rsidRDefault="002A404C" w:rsidP="00A009EE">
            <w:pPr>
              <w:jc w:val="both"/>
              <w:rPr>
                <w:rFonts w:asciiTheme="minorHAnsi" w:hAnsiTheme="minorHAnsi" w:cs="Arial"/>
                <w:sz w:val="20"/>
                <w:szCs w:val="20"/>
              </w:rPr>
            </w:pPr>
            <w:r w:rsidRPr="00331FA0">
              <w:rPr>
                <w:rFonts w:asciiTheme="minorHAnsi" w:hAnsiTheme="minorHAnsi" w:cs="Arial"/>
                <w:sz w:val="20"/>
                <w:szCs w:val="20"/>
              </w:rPr>
              <w:t xml:space="preserve">Pri načrtovanju ureditve okolice proti vzhodu, znotraj območja OPPN, se dodatno predvideva </w:t>
            </w:r>
            <w:proofErr w:type="spellStart"/>
            <w:r w:rsidRPr="00331FA0">
              <w:rPr>
                <w:rFonts w:asciiTheme="minorHAnsi" w:hAnsiTheme="minorHAnsi" w:cs="Arial"/>
                <w:sz w:val="20"/>
                <w:szCs w:val="20"/>
              </w:rPr>
              <w:t>zazelenitev</w:t>
            </w:r>
            <w:proofErr w:type="spellEnd"/>
            <w:r w:rsidRPr="00331FA0">
              <w:rPr>
                <w:rFonts w:asciiTheme="minorHAnsi" w:hAnsiTheme="minorHAnsi" w:cs="Arial"/>
                <w:sz w:val="20"/>
                <w:szCs w:val="20"/>
              </w:rPr>
              <w:t xml:space="preserve"> z avtohtono visokostebelno vegetacijo. Kakšna vegetacija to je mi ni jasno, samo to mi dodatno da slutiti, da gre še za en dodatni pristop kako bi mojo parcelo dodatno degradirali.</w:t>
            </w:r>
          </w:p>
          <w:p w:rsidR="002A404C" w:rsidRDefault="002A404C" w:rsidP="00A009EE">
            <w:pPr>
              <w:jc w:val="both"/>
              <w:rPr>
                <w:rFonts w:asciiTheme="minorHAnsi" w:hAnsiTheme="minorHAnsi" w:cs="Arial"/>
                <w:sz w:val="20"/>
                <w:szCs w:val="20"/>
              </w:rPr>
            </w:pPr>
          </w:p>
          <w:p w:rsidR="002A404C" w:rsidRPr="00331FA0" w:rsidRDefault="002A404C" w:rsidP="00A009EE">
            <w:pPr>
              <w:jc w:val="both"/>
              <w:rPr>
                <w:rFonts w:asciiTheme="minorHAnsi" w:hAnsiTheme="minorHAnsi" w:cs="Arial"/>
                <w:sz w:val="20"/>
                <w:szCs w:val="20"/>
              </w:rPr>
            </w:pPr>
          </w:p>
        </w:tc>
      </w:tr>
      <w:tr w:rsidR="002A404C" w:rsidRPr="00331FA0" w:rsidTr="00A009EE">
        <w:tc>
          <w:tcPr>
            <w:tcW w:w="2298" w:type="dxa"/>
            <w:tcBorders>
              <w:top w:val="single" w:sz="4" w:space="0" w:color="auto"/>
              <w:bottom w:val="single" w:sz="4" w:space="0" w:color="auto"/>
            </w:tcBorders>
          </w:tcPr>
          <w:p w:rsidR="002A404C" w:rsidRPr="00331FA0" w:rsidRDefault="002A404C" w:rsidP="00A009EE">
            <w:pPr>
              <w:tabs>
                <w:tab w:val="left" w:pos="1260"/>
              </w:tabs>
              <w:rPr>
                <w:rFonts w:asciiTheme="minorHAnsi" w:hAnsiTheme="minorHAnsi" w:cs="Arial"/>
                <w:sz w:val="20"/>
                <w:szCs w:val="20"/>
              </w:rPr>
            </w:pPr>
            <w:r w:rsidRPr="00331FA0">
              <w:rPr>
                <w:rFonts w:asciiTheme="minorHAnsi" w:hAnsiTheme="minorHAnsi" w:cs="Arial"/>
                <w:sz w:val="20"/>
                <w:szCs w:val="20"/>
              </w:rPr>
              <w:t>Stališče</w:t>
            </w:r>
          </w:p>
        </w:tc>
        <w:tc>
          <w:tcPr>
            <w:tcW w:w="6990" w:type="dxa"/>
            <w:tcBorders>
              <w:top w:val="single" w:sz="4" w:space="0" w:color="auto"/>
              <w:bottom w:val="single" w:sz="4" w:space="0" w:color="auto"/>
            </w:tcBorders>
          </w:tcPr>
          <w:p w:rsidR="002A404C" w:rsidRPr="00331FA0" w:rsidRDefault="002A404C" w:rsidP="00A009EE">
            <w:pPr>
              <w:pStyle w:val="Telobesedila"/>
              <w:rPr>
                <w:rFonts w:asciiTheme="minorHAnsi" w:hAnsiTheme="minorHAnsi" w:cs="Arial"/>
                <w:b/>
                <w:sz w:val="20"/>
                <w:szCs w:val="20"/>
              </w:rPr>
            </w:pPr>
            <w:r w:rsidRPr="00331FA0">
              <w:rPr>
                <w:rFonts w:asciiTheme="minorHAnsi" w:hAnsiTheme="minorHAnsi" w:cs="Arial"/>
                <w:b/>
                <w:sz w:val="20"/>
                <w:szCs w:val="20"/>
              </w:rPr>
              <w:t>Pripomba glede nepravilne navedbe lege prostorske ureditve ni utemeljena.</w:t>
            </w:r>
          </w:p>
          <w:p w:rsidR="002A404C" w:rsidRDefault="002A404C" w:rsidP="00A009EE">
            <w:pPr>
              <w:pStyle w:val="Telobesedila"/>
              <w:rPr>
                <w:rFonts w:asciiTheme="minorHAnsi" w:hAnsiTheme="minorHAnsi" w:cs="Arial"/>
                <w:sz w:val="20"/>
                <w:szCs w:val="20"/>
              </w:rPr>
            </w:pPr>
            <w:r w:rsidRPr="00331FA0">
              <w:rPr>
                <w:rFonts w:asciiTheme="minorHAnsi" w:hAnsiTheme="minorHAnsi" w:cs="Arial"/>
                <w:sz w:val="20"/>
                <w:szCs w:val="20"/>
              </w:rPr>
              <w:t>Predvidena lokacija kmetijskega gospodarstva je umeščena ob gozdni rob, ki meji na regionalno cesto R2 1134410 Tržič – Kokrica in javno pot JP 685691 Letenice-jug. Lokacija se nahaja 2 km južno od Gorič proti Tenetišam. Gozdni rob ob regionalni cesti deluje kot vizualna pregrada in zapira neposreden pogled na predvideno lokacijo. Ta se prostorsko navezuje in s pogledom odpira proti Letenicam. Območje OPPN je na SV strani omejeno z gozdom ter na zahodni strani s travniki.</w:t>
            </w:r>
          </w:p>
          <w:p w:rsidR="002A404C" w:rsidRDefault="002A404C" w:rsidP="00A009EE">
            <w:pPr>
              <w:pStyle w:val="Telobesedila"/>
              <w:rPr>
                <w:rFonts w:asciiTheme="minorHAnsi" w:hAnsiTheme="minorHAnsi" w:cs="Arial"/>
                <w:sz w:val="20"/>
                <w:szCs w:val="20"/>
              </w:rPr>
            </w:pPr>
          </w:p>
          <w:p w:rsidR="002A404C" w:rsidRPr="00331FA0" w:rsidRDefault="002A404C" w:rsidP="00A009EE">
            <w:pPr>
              <w:rPr>
                <w:rFonts w:asciiTheme="minorHAnsi" w:hAnsiTheme="minorHAnsi" w:cs="Arial"/>
                <w:sz w:val="20"/>
                <w:szCs w:val="20"/>
              </w:rPr>
            </w:pPr>
            <w:r w:rsidRPr="00331FA0">
              <w:rPr>
                <w:rFonts w:asciiTheme="minorHAnsi" w:hAnsiTheme="minorHAnsi" w:cs="Arial"/>
                <w:noProof/>
                <w:sz w:val="20"/>
                <w:szCs w:val="20"/>
              </w:rPr>
              <w:drawing>
                <wp:inline distT="0" distB="0" distL="0" distR="0" wp14:anchorId="74F54F93" wp14:editId="01FAA135">
                  <wp:extent cx="1419225" cy="1419225"/>
                  <wp:effectExtent l="19050" t="19050" r="28575" b="28575"/>
                  <wp:docPr id="8" name="Slika 4" descr="lokacija6_ož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lokacija6_ožje"/>
                          <pic:cNvPicPr>
                            <a:picLocks noChangeAspect="1" noChangeArrowheads="1"/>
                          </pic:cNvPicPr>
                        </pic:nvPicPr>
                        <pic:blipFill>
                          <a:blip r:embed="rId7">
                            <a:extLst>
                              <a:ext uri="{28A0092B-C50C-407E-A947-70E740481C1C}">
                                <a14:useLocalDpi xmlns:a14="http://schemas.microsoft.com/office/drawing/2010/main" val="0"/>
                              </a:ext>
                            </a:extLst>
                          </a:blip>
                          <a:srcRect t="29272"/>
                          <a:stretch>
                            <a:fillRect/>
                          </a:stretch>
                        </pic:blipFill>
                        <pic:spPr bwMode="auto">
                          <a:xfrm>
                            <a:off x="0" y="0"/>
                            <a:ext cx="1419225" cy="1419225"/>
                          </a:xfrm>
                          <a:prstGeom prst="rect">
                            <a:avLst/>
                          </a:prstGeom>
                          <a:noFill/>
                          <a:ln w="9525" cmpd="sng">
                            <a:solidFill>
                              <a:srgbClr val="000000"/>
                            </a:solidFill>
                            <a:miter lim="800000"/>
                            <a:headEnd/>
                            <a:tailEnd/>
                          </a:ln>
                          <a:effectLst/>
                        </pic:spPr>
                      </pic:pic>
                    </a:graphicData>
                  </a:graphic>
                </wp:inline>
              </w:drawing>
            </w:r>
            <w:r w:rsidRPr="00331FA0">
              <w:rPr>
                <w:rFonts w:asciiTheme="minorHAnsi" w:hAnsiTheme="minorHAnsi" w:cs="Arial"/>
                <w:sz w:val="20"/>
                <w:szCs w:val="20"/>
              </w:rPr>
              <w:t xml:space="preserve"> </w:t>
            </w:r>
            <w:r w:rsidRPr="00331FA0">
              <w:rPr>
                <w:rFonts w:asciiTheme="minorHAnsi" w:hAnsiTheme="minorHAnsi" w:cs="Arial"/>
                <w:noProof/>
                <w:sz w:val="20"/>
                <w:szCs w:val="20"/>
              </w:rPr>
              <w:drawing>
                <wp:inline distT="0" distB="0" distL="0" distR="0" wp14:anchorId="070729D3" wp14:editId="38DC46A4">
                  <wp:extent cx="1657350" cy="1438275"/>
                  <wp:effectExtent l="0" t="0" r="0" b="9525"/>
                  <wp:docPr id="7" name="Slika 6" descr="4-lokacij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4-lokacija_10"/>
                          <pic:cNvPicPr>
                            <a:picLocks noChangeAspect="1" noChangeArrowheads="1"/>
                          </pic:cNvPicPr>
                        </pic:nvPicPr>
                        <pic:blipFill>
                          <a:blip r:embed="rId8">
                            <a:extLst>
                              <a:ext uri="{28A0092B-C50C-407E-A947-70E740481C1C}">
                                <a14:useLocalDpi xmlns:a14="http://schemas.microsoft.com/office/drawing/2010/main" val="0"/>
                              </a:ext>
                            </a:extLst>
                          </a:blip>
                          <a:srcRect l="13541"/>
                          <a:stretch>
                            <a:fillRect/>
                          </a:stretch>
                        </pic:blipFill>
                        <pic:spPr bwMode="auto">
                          <a:xfrm>
                            <a:off x="0" y="0"/>
                            <a:ext cx="1657350" cy="1438275"/>
                          </a:xfrm>
                          <a:prstGeom prst="rect">
                            <a:avLst/>
                          </a:prstGeom>
                          <a:noFill/>
                          <a:ln>
                            <a:noFill/>
                          </a:ln>
                        </pic:spPr>
                      </pic:pic>
                    </a:graphicData>
                  </a:graphic>
                </wp:inline>
              </w:drawing>
            </w:r>
          </w:p>
          <w:p w:rsidR="002A404C"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sz w:val="20"/>
                <w:szCs w:val="20"/>
              </w:rPr>
            </w:pPr>
            <w:r w:rsidRPr="00331FA0">
              <w:rPr>
                <w:rFonts w:asciiTheme="minorHAnsi" w:hAnsiTheme="minorHAnsi" w:cs="Arial"/>
                <w:b/>
                <w:sz w:val="20"/>
                <w:szCs w:val="20"/>
              </w:rPr>
              <w:t xml:space="preserve">Pripomba glede prikaza parcele št. 344/2 </w:t>
            </w:r>
            <w:proofErr w:type="spellStart"/>
            <w:r w:rsidRPr="00331FA0">
              <w:rPr>
                <w:rFonts w:asciiTheme="minorHAnsi" w:hAnsiTheme="minorHAnsi" w:cs="Arial"/>
                <w:b/>
                <w:sz w:val="20"/>
                <w:szCs w:val="20"/>
              </w:rPr>
              <w:t>k.o</w:t>
            </w:r>
            <w:proofErr w:type="spellEnd"/>
            <w:r w:rsidRPr="00331FA0">
              <w:rPr>
                <w:rFonts w:asciiTheme="minorHAnsi" w:hAnsiTheme="minorHAnsi" w:cs="Arial"/>
                <w:b/>
                <w:sz w:val="20"/>
                <w:szCs w:val="20"/>
              </w:rPr>
              <w:t>. Goriče je utemeljena</w:t>
            </w:r>
            <w:r w:rsidRPr="00331FA0">
              <w:rPr>
                <w:rFonts w:asciiTheme="minorHAnsi" w:hAnsiTheme="minorHAnsi" w:cs="Arial"/>
                <w:sz w:val="20"/>
                <w:szCs w:val="20"/>
              </w:rPr>
              <w:t xml:space="preserve">. </w:t>
            </w:r>
          </w:p>
          <w:p w:rsidR="002A404C" w:rsidRDefault="002A404C" w:rsidP="00A009EE">
            <w:pPr>
              <w:jc w:val="both"/>
              <w:rPr>
                <w:rFonts w:asciiTheme="minorHAnsi" w:hAnsiTheme="minorHAnsi" w:cs="Arial"/>
                <w:sz w:val="20"/>
                <w:szCs w:val="20"/>
              </w:rPr>
            </w:pPr>
            <w:r w:rsidRPr="00331FA0">
              <w:rPr>
                <w:rFonts w:asciiTheme="minorHAnsi" w:hAnsiTheme="minorHAnsi" w:cs="Arial"/>
                <w:sz w:val="20"/>
                <w:szCs w:val="20"/>
              </w:rPr>
              <w:t>Iz uradnih evidenc je razvidno, da je dejanska raba parcele kmetijsko zemljišče (797m</w:t>
            </w:r>
            <w:r w:rsidRPr="00331FA0">
              <w:rPr>
                <w:rFonts w:asciiTheme="minorHAnsi" w:hAnsiTheme="minorHAnsi" w:cs="Arial"/>
                <w:sz w:val="20"/>
                <w:szCs w:val="20"/>
                <w:vertAlign w:val="superscript"/>
              </w:rPr>
              <w:t>2</w:t>
            </w:r>
            <w:r w:rsidRPr="00331FA0">
              <w:rPr>
                <w:rFonts w:asciiTheme="minorHAnsi" w:hAnsiTheme="minorHAnsi" w:cs="Arial"/>
                <w:sz w:val="20"/>
                <w:szCs w:val="20"/>
              </w:rPr>
              <w:t>) ter gozdno zemljišče (266 m</w:t>
            </w:r>
            <w:r w:rsidRPr="00331FA0">
              <w:rPr>
                <w:rFonts w:asciiTheme="minorHAnsi" w:hAnsiTheme="minorHAnsi" w:cs="Arial"/>
                <w:sz w:val="20"/>
                <w:szCs w:val="20"/>
                <w:vertAlign w:val="superscript"/>
              </w:rPr>
              <w:t>2</w:t>
            </w:r>
            <w:r w:rsidRPr="00331FA0">
              <w:rPr>
                <w:rFonts w:asciiTheme="minorHAnsi" w:hAnsiTheme="minorHAnsi" w:cs="Arial"/>
                <w:sz w:val="20"/>
                <w:szCs w:val="20"/>
              </w:rPr>
              <w:t>). Grafični del OPPN se na omenjeni parceli popravi skladno z dejansko rabo.</w:t>
            </w:r>
          </w:p>
          <w:p w:rsidR="002A404C" w:rsidRPr="00331FA0" w:rsidRDefault="002A404C" w:rsidP="00A009EE">
            <w:pPr>
              <w:jc w:val="both"/>
              <w:rPr>
                <w:rFonts w:asciiTheme="minorHAnsi" w:hAnsiTheme="minorHAnsi" w:cs="Arial"/>
                <w:sz w:val="20"/>
                <w:szCs w:val="20"/>
              </w:rPr>
            </w:pPr>
          </w:p>
          <w:p w:rsidR="002A404C" w:rsidRPr="00331FA0" w:rsidRDefault="002A404C" w:rsidP="00A009EE">
            <w:pPr>
              <w:rPr>
                <w:rFonts w:asciiTheme="minorHAnsi" w:hAnsiTheme="minorHAnsi" w:cs="Arial"/>
                <w:sz w:val="20"/>
                <w:szCs w:val="20"/>
              </w:rPr>
            </w:pPr>
            <w:r w:rsidRPr="00331FA0">
              <w:rPr>
                <w:rFonts w:asciiTheme="minorHAnsi" w:hAnsiTheme="minorHAnsi" w:cs="Arial"/>
                <w:noProof/>
                <w:sz w:val="20"/>
                <w:szCs w:val="20"/>
              </w:rPr>
              <w:drawing>
                <wp:inline distT="0" distB="0" distL="0" distR="0" wp14:anchorId="758EDAE1" wp14:editId="046FEE71">
                  <wp:extent cx="1895475" cy="1419225"/>
                  <wp:effectExtent l="0" t="0" r="9525" b="9525"/>
                  <wp:docPr id="6" name="Slika 1" descr="D:\LOKACIJSKI NAČRTI\OPPN_KMETIJA LOGAR_GORIČE\FOTO\4-lokacija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LOKACIJSKI NAČRTI\OPPN_KMETIJA LOGAR_GORIČE\FOTO\4-lokacija_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r w:rsidRPr="00331FA0">
              <w:rPr>
                <w:rFonts w:asciiTheme="minorHAnsi" w:hAnsiTheme="minorHAnsi" w:cs="Arial"/>
                <w:sz w:val="20"/>
                <w:szCs w:val="20"/>
              </w:rPr>
              <w:t xml:space="preserve">  </w:t>
            </w:r>
            <w:r w:rsidRPr="00331FA0">
              <w:rPr>
                <w:rFonts w:asciiTheme="minorHAnsi" w:hAnsiTheme="minorHAnsi"/>
                <w:sz w:val="20"/>
                <w:szCs w:val="20"/>
              </w:rPr>
              <w:object w:dxaOrig="16425" w:dyaOrig="13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05pt;height:119.8pt" o:ole="">
                  <v:imagedata r:id="rId10" o:title="" cropbottom="10143f"/>
                </v:shape>
                <o:OLEObject Type="Embed" ProgID="PBrush" ShapeID="_x0000_i1025" DrawAspect="Content" ObjectID="_1596448210" r:id="rId11"/>
              </w:object>
            </w:r>
          </w:p>
          <w:p w:rsidR="002A404C" w:rsidRDefault="002A404C" w:rsidP="00A009EE">
            <w:pPr>
              <w:jc w:val="both"/>
              <w:rPr>
                <w:rFonts w:asciiTheme="minorHAnsi" w:hAnsiTheme="minorHAnsi" w:cs="Arial"/>
                <w:b/>
                <w:sz w:val="20"/>
                <w:szCs w:val="20"/>
              </w:rPr>
            </w:pPr>
          </w:p>
          <w:p w:rsidR="002A404C"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b/>
                <w:sz w:val="20"/>
                <w:szCs w:val="20"/>
              </w:rPr>
            </w:pPr>
            <w:r w:rsidRPr="00331FA0">
              <w:rPr>
                <w:rFonts w:asciiTheme="minorHAnsi" w:hAnsiTheme="minorHAnsi" w:cs="Arial"/>
                <w:b/>
                <w:sz w:val="20"/>
                <w:szCs w:val="20"/>
              </w:rPr>
              <w:t>Pripomba glede dovoza na območje novo predvidenega kmetijskega gospodarstva Logar ni utemeljena.</w:t>
            </w:r>
          </w:p>
          <w:p w:rsidR="002A404C" w:rsidRDefault="002A404C" w:rsidP="00A009EE">
            <w:pPr>
              <w:jc w:val="both"/>
              <w:rPr>
                <w:rFonts w:asciiTheme="minorHAnsi" w:hAnsiTheme="minorHAnsi" w:cs="Arial"/>
                <w:sz w:val="20"/>
                <w:szCs w:val="20"/>
              </w:rPr>
            </w:pPr>
            <w:r w:rsidRPr="00331FA0">
              <w:rPr>
                <w:rFonts w:asciiTheme="minorHAnsi" w:hAnsiTheme="minorHAnsi" w:cs="Arial"/>
                <w:sz w:val="20"/>
                <w:szCs w:val="20"/>
              </w:rPr>
              <w:t xml:space="preserve">Skladno s pridobljenimi smernicami Direkcije RS za infrastrukturo in Urada za gospodarstvo in gospodarske javne službe Mestne občine Kranj je bila izdelana strokovna podlaga Elaborat ureditve priključevanja nove kmetije »Logar« na JP 688569 </w:t>
            </w:r>
            <w:proofErr w:type="spellStart"/>
            <w:r w:rsidRPr="00331FA0">
              <w:rPr>
                <w:rFonts w:asciiTheme="minorHAnsi" w:hAnsiTheme="minorHAnsi" w:cs="Arial"/>
                <w:sz w:val="20"/>
                <w:szCs w:val="20"/>
              </w:rPr>
              <w:t>Letence</w:t>
            </w:r>
            <w:proofErr w:type="spellEnd"/>
            <w:r w:rsidRPr="00331FA0">
              <w:rPr>
                <w:rFonts w:asciiTheme="minorHAnsi" w:hAnsiTheme="minorHAnsi" w:cs="Arial"/>
                <w:sz w:val="20"/>
                <w:szCs w:val="20"/>
              </w:rPr>
              <w:t xml:space="preserve"> jug ter preveritev ustreznosti priključevanja JP na RC R2-410/1134 Tržič – Kokrica v BCM KM 9.270. Strokovna podlaga je usklajena s pridobljenimi smernicami in pristojnimi upravljavci prostora. Predvidena ureditev ustreznega dostopa do novo predvidenega kmetijskega gospodarstva Logar oziroma ureditev priključka dostopne poti na občinsko javno pot JP 685691 </w:t>
            </w:r>
            <w:proofErr w:type="spellStart"/>
            <w:r w:rsidRPr="00331FA0">
              <w:rPr>
                <w:rFonts w:asciiTheme="minorHAnsi" w:hAnsiTheme="minorHAnsi" w:cs="Arial"/>
                <w:sz w:val="20"/>
                <w:szCs w:val="20"/>
              </w:rPr>
              <w:t>Letence</w:t>
            </w:r>
            <w:proofErr w:type="spellEnd"/>
            <w:r w:rsidRPr="00331FA0">
              <w:rPr>
                <w:rFonts w:asciiTheme="minorHAnsi" w:hAnsiTheme="minorHAnsi" w:cs="Arial"/>
                <w:sz w:val="20"/>
                <w:szCs w:val="20"/>
              </w:rPr>
              <w:t xml:space="preserve"> jug ne posegata na parcelo 334/2 </w:t>
            </w:r>
            <w:proofErr w:type="spellStart"/>
            <w:r w:rsidRPr="00331FA0">
              <w:rPr>
                <w:rFonts w:asciiTheme="minorHAnsi" w:hAnsiTheme="minorHAnsi" w:cs="Arial"/>
                <w:sz w:val="20"/>
                <w:szCs w:val="20"/>
              </w:rPr>
              <w:t>k.o</w:t>
            </w:r>
            <w:proofErr w:type="spellEnd"/>
            <w:r w:rsidRPr="00331FA0">
              <w:rPr>
                <w:rFonts w:asciiTheme="minorHAnsi" w:hAnsiTheme="minorHAnsi" w:cs="Arial"/>
                <w:sz w:val="20"/>
                <w:szCs w:val="20"/>
              </w:rPr>
              <w:t>. Goriče.</w:t>
            </w:r>
          </w:p>
          <w:p w:rsidR="002A404C" w:rsidRPr="00331FA0" w:rsidRDefault="002A404C" w:rsidP="00A009EE">
            <w:pPr>
              <w:jc w:val="both"/>
              <w:rPr>
                <w:rFonts w:asciiTheme="minorHAnsi" w:hAnsiTheme="minorHAnsi" w:cs="Arial"/>
                <w:sz w:val="20"/>
                <w:szCs w:val="20"/>
              </w:rPr>
            </w:pPr>
          </w:p>
          <w:p w:rsidR="002A404C" w:rsidRPr="00331FA0" w:rsidRDefault="002A404C" w:rsidP="00A009EE">
            <w:pPr>
              <w:jc w:val="both"/>
              <w:rPr>
                <w:rFonts w:asciiTheme="minorHAnsi" w:hAnsiTheme="minorHAnsi" w:cs="Arial"/>
                <w:sz w:val="20"/>
                <w:szCs w:val="20"/>
              </w:rPr>
            </w:pPr>
            <w:r w:rsidRPr="00331FA0">
              <w:rPr>
                <w:rFonts w:asciiTheme="minorHAnsi" w:hAnsiTheme="minorHAnsi"/>
                <w:sz w:val="20"/>
                <w:szCs w:val="20"/>
              </w:rPr>
              <w:object w:dxaOrig="16425" w:dyaOrig="13665">
                <v:shape id="_x0000_i1026" type="#_x0000_t75" style="width:156.65pt;height:121.55pt" o:ole="">
                  <v:imagedata r:id="rId10" o:title="" cropbottom="3196f"/>
                </v:shape>
                <o:OLEObject Type="Embed" ProgID="PBrush" ShapeID="_x0000_i1026" DrawAspect="Content" ObjectID="_1596448211" r:id="rId12"/>
              </w:object>
            </w:r>
          </w:p>
          <w:p w:rsidR="002A404C" w:rsidRDefault="002A404C" w:rsidP="00A009EE">
            <w:pPr>
              <w:jc w:val="both"/>
              <w:rPr>
                <w:rFonts w:asciiTheme="minorHAnsi" w:hAnsiTheme="minorHAnsi" w:cs="Arial"/>
                <w:b/>
                <w:sz w:val="20"/>
                <w:szCs w:val="20"/>
              </w:rPr>
            </w:pPr>
          </w:p>
          <w:p w:rsidR="002A404C"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b/>
                <w:sz w:val="20"/>
                <w:szCs w:val="20"/>
              </w:rPr>
            </w:pPr>
            <w:r w:rsidRPr="00331FA0">
              <w:rPr>
                <w:rFonts w:asciiTheme="minorHAnsi" w:hAnsiTheme="minorHAnsi" w:cs="Arial"/>
                <w:b/>
                <w:sz w:val="20"/>
                <w:szCs w:val="20"/>
              </w:rPr>
              <w:t xml:space="preserve">Pripomba glede odmika objekta A1 (hlev za govedo) od parcele št. 344/2 </w:t>
            </w:r>
            <w:proofErr w:type="spellStart"/>
            <w:r w:rsidRPr="00331FA0">
              <w:rPr>
                <w:rFonts w:asciiTheme="minorHAnsi" w:hAnsiTheme="minorHAnsi" w:cs="Arial"/>
                <w:b/>
                <w:sz w:val="20"/>
                <w:szCs w:val="20"/>
              </w:rPr>
              <w:t>k.o</w:t>
            </w:r>
            <w:proofErr w:type="spellEnd"/>
            <w:r w:rsidRPr="00331FA0">
              <w:rPr>
                <w:rFonts w:asciiTheme="minorHAnsi" w:hAnsiTheme="minorHAnsi" w:cs="Arial"/>
                <w:b/>
                <w:sz w:val="20"/>
                <w:szCs w:val="20"/>
              </w:rPr>
              <w:t>. Goriče ni utemeljena.</w:t>
            </w:r>
          </w:p>
          <w:p w:rsidR="002A404C" w:rsidRPr="00331FA0" w:rsidRDefault="002A404C" w:rsidP="00A009EE">
            <w:pPr>
              <w:jc w:val="both"/>
              <w:rPr>
                <w:rFonts w:asciiTheme="minorHAnsi" w:hAnsiTheme="minorHAnsi" w:cs="Arial"/>
                <w:sz w:val="20"/>
                <w:szCs w:val="20"/>
              </w:rPr>
            </w:pPr>
            <w:r w:rsidRPr="00331FA0">
              <w:rPr>
                <w:rFonts w:asciiTheme="minorHAnsi" w:hAnsiTheme="minorHAnsi" w:cs="Arial"/>
                <w:sz w:val="20"/>
                <w:szCs w:val="20"/>
              </w:rPr>
              <w:t xml:space="preserve">Pri načrtovanju znotraj območja OPPN so bile upoštevane usmeritve iz izvedbenega dela OPN Mestne občine Kranj (IPN), izdelanih strokovnih podlag in prejetih smernic nosilcev urejanja prostora. IPN Mestne občine Kranj na območjih z namensko rabo IK za zahtevne in manj zahtevne objekte predpisuje od parcele namenjene gradnji odmik najmanj 5,00 m. Najbolj izpostavljen del objekta A1 (kap strehe) je od parcele št. 334/2 </w:t>
            </w:r>
            <w:proofErr w:type="spellStart"/>
            <w:r w:rsidRPr="00331FA0">
              <w:rPr>
                <w:rFonts w:asciiTheme="minorHAnsi" w:hAnsiTheme="minorHAnsi" w:cs="Arial"/>
                <w:sz w:val="20"/>
                <w:szCs w:val="20"/>
              </w:rPr>
              <w:t>k.o</w:t>
            </w:r>
            <w:proofErr w:type="spellEnd"/>
            <w:r w:rsidRPr="00331FA0">
              <w:rPr>
                <w:rFonts w:asciiTheme="minorHAnsi" w:hAnsiTheme="minorHAnsi" w:cs="Arial"/>
                <w:sz w:val="20"/>
                <w:szCs w:val="20"/>
              </w:rPr>
              <w:t>. Goriče odmaknjen 6,95 m. Prav tako je predvideni objekt lociran južno od omenjene parcele in s svojo višino (12,00 m) in orientacijo ne bo degradiral in poslabšal pogojev osončenja v času košnje parcele. Parcela na svojem vhodnem robu že meji na gozdno površino z odraslo višino dreves (cca 20,00 m), kar pomeni že obstoječe osenčenje.</w:t>
            </w:r>
          </w:p>
          <w:p w:rsidR="002A404C"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sz w:val="20"/>
                <w:szCs w:val="20"/>
              </w:rPr>
            </w:pPr>
            <w:r w:rsidRPr="00331FA0">
              <w:rPr>
                <w:rFonts w:asciiTheme="minorHAnsi" w:hAnsiTheme="minorHAnsi" w:cs="Arial"/>
                <w:b/>
                <w:sz w:val="20"/>
                <w:szCs w:val="20"/>
              </w:rPr>
              <w:t>Pripomba glede višine kote pritličja objektov kmetijskega gospodarstva ni utemeljena</w:t>
            </w:r>
            <w:r w:rsidRPr="00331FA0">
              <w:rPr>
                <w:rFonts w:asciiTheme="minorHAnsi" w:hAnsiTheme="minorHAnsi" w:cs="Arial"/>
                <w:sz w:val="20"/>
                <w:szCs w:val="20"/>
              </w:rPr>
              <w:t>.</w:t>
            </w:r>
          </w:p>
          <w:p w:rsidR="002A404C" w:rsidRPr="00331FA0" w:rsidRDefault="002A404C" w:rsidP="00A009EE">
            <w:pPr>
              <w:jc w:val="both"/>
              <w:rPr>
                <w:rFonts w:asciiTheme="minorHAnsi" w:hAnsiTheme="minorHAnsi" w:cs="Arial"/>
                <w:sz w:val="20"/>
                <w:szCs w:val="20"/>
              </w:rPr>
            </w:pPr>
            <w:r w:rsidRPr="00331FA0">
              <w:rPr>
                <w:rFonts w:asciiTheme="minorHAnsi" w:hAnsiTheme="minorHAnsi" w:cs="Arial"/>
                <w:sz w:val="20"/>
                <w:szCs w:val="20"/>
              </w:rPr>
              <w:t>Pritličja vseh objektov kmetijskega gospodarstva so načrtovana v nivoju terena. Spreminjanje konfiguracije terena ali dodatno nasipavanje (višanje) terena ni predvideno. Teren naravno pada od severa proti jugu (za cca 1,50 m). V kolikor bi bilo potrebno premostiti morebitno višinsko razliko se mora le ta premostiti s travnato brežino.</w:t>
            </w:r>
          </w:p>
          <w:p w:rsidR="002A404C"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b/>
                <w:sz w:val="20"/>
                <w:szCs w:val="20"/>
              </w:rPr>
            </w:pPr>
            <w:r w:rsidRPr="00331FA0">
              <w:rPr>
                <w:rFonts w:asciiTheme="minorHAnsi" w:hAnsiTheme="minorHAnsi" w:cs="Arial"/>
                <w:b/>
                <w:sz w:val="20"/>
                <w:szCs w:val="20"/>
              </w:rPr>
              <w:t>Pripomba glede meteornih in padavinskih vod ni utemeljena.</w:t>
            </w:r>
          </w:p>
          <w:p w:rsidR="002A404C" w:rsidRPr="00331FA0" w:rsidRDefault="002A404C" w:rsidP="00A009EE">
            <w:pPr>
              <w:jc w:val="both"/>
              <w:rPr>
                <w:rFonts w:asciiTheme="minorHAnsi" w:hAnsiTheme="minorHAnsi" w:cs="Arial"/>
                <w:sz w:val="20"/>
                <w:szCs w:val="20"/>
              </w:rPr>
            </w:pPr>
            <w:r w:rsidRPr="00331FA0">
              <w:rPr>
                <w:rFonts w:asciiTheme="minorHAnsi" w:hAnsiTheme="minorHAnsi" w:cs="Arial"/>
                <w:sz w:val="20"/>
                <w:szCs w:val="20"/>
              </w:rPr>
              <w:t xml:space="preserve">Za potrebe odvajanja meteornih in padavinskih vod z območja OPPN  je bila izdelana »Strokovna podlaga  Geološko – </w:t>
            </w:r>
            <w:proofErr w:type="spellStart"/>
            <w:r w:rsidRPr="00331FA0">
              <w:rPr>
                <w:rFonts w:asciiTheme="minorHAnsi" w:hAnsiTheme="minorHAnsi" w:cs="Arial"/>
                <w:sz w:val="20"/>
                <w:szCs w:val="20"/>
              </w:rPr>
              <w:t>geotehnični</w:t>
            </w:r>
            <w:proofErr w:type="spellEnd"/>
            <w:r w:rsidRPr="00331FA0">
              <w:rPr>
                <w:rFonts w:asciiTheme="minorHAnsi" w:hAnsiTheme="minorHAnsi" w:cs="Arial"/>
                <w:sz w:val="20"/>
                <w:szCs w:val="20"/>
              </w:rPr>
              <w:t xml:space="preserve"> elaborat in Hidrološko – hidravlični elaborat«. Iz nje izhaja tudi predlagana in s strani DRSV potrjena rešitev. Ta predvideva zbiranje in vodenje meteornih vod s strešin v predvideni zbiralnik meteornih vod, lociran znotraj gradbene parcele (pod hlevom). Viški meteornih vod iz zbiralnika se kontrolirano, po ceveh vodijo v strugo obstoječega melioracijskega kanala, ki poteka cca 230,00 m jugovzhodno od načrtovanega kmetijskega gospodarstva. Vpliva na parcelo št. 334/2 </w:t>
            </w:r>
            <w:proofErr w:type="spellStart"/>
            <w:r w:rsidRPr="00331FA0">
              <w:rPr>
                <w:rFonts w:asciiTheme="minorHAnsi" w:hAnsiTheme="minorHAnsi" w:cs="Arial"/>
                <w:sz w:val="20"/>
                <w:szCs w:val="20"/>
              </w:rPr>
              <w:t>k.o</w:t>
            </w:r>
            <w:proofErr w:type="spellEnd"/>
            <w:r w:rsidRPr="00331FA0">
              <w:rPr>
                <w:rFonts w:asciiTheme="minorHAnsi" w:hAnsiTheme="minorHAnsi" w:cs="Arial"/>
                <w:sz w:val="20"/>
                <w:szCs w:val="20"/>
              </w:rPr>
              <w:t>. Goriče s predvideno gradnjo ne bo.</w:t>
            </w:r>
          </w:p>
          <w:p w:rsidR="002A404C"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b/>
                <w:sz w:val="20"/>
                <w:szCs w:val="20"/>
              </w:rPr>
            </w:pPr>
            <w:r w:rsidRPr="00331FA0">
              <w:rPr>
                <w:rFonts w:asciiTheme="minorHAnsi" w:hAnsiTheme="minorHAnsi" w:cs="Arial"/>
                <w:b/>
                <w:sz w:val="20"/>
                <w:szCs w:val="20"/>
              </w:rPr>
              <w:t>Pripomba glede med posestnih ograj ni utemeljena.</w:t>
            </w:r>
          </w:p>
          <w:p w:rsidR="002A404C" w:rsidRPr="00331FA0" w:rsidRDefault="002A404C" w:rsidP="00A009EE">
            <w:pPr>
              <w:jc w:val="both"/>
              <w:rPr>
                <w:rFonts w:asciiTheme="minorHAnsi" w:hAnsiTheme="minorHAnsi" w:cs="Arial"/>
                <w:sz w:val="20"/>
                <w:szCs w:val="20"/>
              </w:rPr>
            </w:pPr>
            <w:r w:rsidRPr="00331FA0">
              <w:rPr>
                <w:rFonts w:asciiTheme="minorHAnsi" w:hAnsiTheme="minorHAnsi" w:cs="Arial"/>
                <w:sz w:val="20"/>
                <w:szCs w:val="20"/>
              </w:rPr>
              <w:t>Določbe glede med posestnih ograj so povzete po IPN. Te sicer niso predvidene saj kmetijsko gospodarstvo delno meji na gozdni rob in delno na odprte kmetijske površine (travnike). V kolikor bi se izkazala potreba po ograditvi (lahko tudi le delni) se ta izvede na posestno mejo vendar le s pisnim soglasjem mejaša, oz. se mora izvesti v takem odmiku od posestne meje, da se jo gradi (postavi) in vzdržuje po lastnem zemljišču.</w:t>
            </w:r>
          </w:p>
          <w:p w:rsidR="002A404C" w:rsidRDefault="002A404C" w:rsidP="00A009EE">
            <w:pPr>
              <w:jc w:val="both"/>
              <w:rPr>
                <w:rFonts w:asciiTheme="minorHAnsi" w:hAnsiTheme="minorHAnsi" w:cs="Arial"/>
                <w:b/>
                <w:sz w:val="20"/>
                <w:szCs w:val="20"/>
              </w:rPr>
            </w:pPr>
          </w:p>
          <w:p w:rsidR="002A404C" w:rsidRPr="00331FA0" w:rsidRDefault="002A404C" w:rsidP="00A009EE">
            <w:pPr>
              <w:jc w:val="both"/>
              <w:rPr>
                <w:rFonts w:asciiTheme="minorHAnsi" w:hAnsiTheme="minorHAnsi" w:cs="Arial"/>
                <w:b/>
                <w:sz w:val="20"/>
                <w:szCs w:val="20"/>
              </w:rPr>
            </w:pPr>
            <w:r w:rsidRPr="00331FA0">
              <w:rPr>
                <w:rFonts w:asciiTheme="minorHAnsi" w:hAnsiTheme="minorHAnsi" w:cs="Arial"/>
                <w:b/>
                <w:sz w:val="20"/>
                <w:szCs w:val="20"/>
              </w:rPr>
              <w:t xml:space="preserve">Pripomba glede dodatne </w:t>
            </w:r>
            <w:proofErr w:type="spellStart"/>
            <w:r w:rsidRPr="00331FA0">
              <w:rPr>
                <w:rFonts w:asciiTheme="minorHAnsi" w:hAnsiTheme="minorHAnsi" w:cs="Arial"/>
                <w:b/>
                <w:sz w:val="20"/>
                <w:szCs w:val="20"/>
              </w:rPr>
              <w:t>zazelenitve</w:t>
            </w:r>
            <w:proofErr w:type="spellEnd"/>
            <w:r w:rsidRPr="00331FA0">
              <w:rPr>
                <w:rFonts w:asciiTheme="minorHAnsi" w:hAnsiTheme="minorHAnsi" w:cs="Arial"/>
                <w:b/>
                <w:sz w:val="20"/>
                <w:szCs w:val="20"/>
              </w:rPr>
              <w:t xml:space="preserve"> obstoječega gozdnega roba ni utemeljena.</w:t>
            </w:r>
          </w:p>
          <w:p w:rsidR="002A404C" w:rsidRDefault="002A404C" w:rsidP="00A009EE">
            <w:pPr>
              <w:jc w:val="both"/>
              <w:rPr>
                <w:rFonts w:asciiTheme="minorHAnsi" w:hAnsiTheme="minorHAnsi" w:cs="Arial"/>
                <w:color w:val="000000"/>
                <w:sz w:val="20"/>
                <w:szCs w:val="20"/>
              </w:rPr>
            </w:pPr>
            <w:r w:rsidRPr="00331FA0">
              <w:rPr>
                <w:rFonts w:asciiTheme="minorHAnsi" w:hAnsiTheme="minorHAnsi" w:cs="Arial"/>
                <w:sz w:val="20"/>
                <w:szCs w:val="20"/>
              </w:rPr>
              <w:t xml:space="preserve">Kot je bilo že obrazloženo je načrtovano kmetijsko gospodarstvo umeščeno v ob gozdni rob, ki meji na regionalno cesto R2 1134410 Tržič – Kokrica in na javno pot JP 685691 Letenice-jug. Gozdni rob ob regionalni cesti deluje kot vizualna pregrada in zapira neposreden pogled na predvideno lokacijo. Ker je gozdni rob na vzhodni strani proti cesti tanjši in v zimskem času prepušča delen pogled, je Ministrstvo za kulturo v svojih smernicah kot poseben ukrep zaradi varstva kulturne dediščine zahtevalo dodatno </w:t>
            </w:r>
            <w:proofErr w:type="spellStart"/>
            <w:r w:rsidRPr="00331FA0">
              <w:rPr>
                <w:rFonts w:asciiTheme="minorHAnsi" w:hAnsiTheme="minorHAnsi" w:cs="Arial"/>
                <w:sz w:val="20"/>
                <w:szCs w:val="20"/>
              </w:rPr>
              <w:t>zazelenitev</w:t>
            </w:r>
            <w:proofErr w:type="spellEnd"/>
            <w:r w:rsidRPr="00331FA0">
              <w:rPr>
                <w:rFonts w:asciiTheme="minorHAnsi" w:hAnsiTheme="minorHAnsi" w:cs="Arial"/>
                <w:sz w:val="20"/>
                <w:szCs w:val="20"/>
              </w:rPr>
              <w:t xml:space="preserve"> z avtohtono vegetacijo obeh parcel predvidenega kmetijskega gospodarstva na strani proti cesti. Skladno s smernicami Zavoda za gozdove Slovenije z</w:t>
            </w:r>
            <w:r w:rsidRPr="00331FA0">
              <w:rPr>
                <w:rFonts w:asciiTheme="minorHAnsi" w:hAnsiTheme="minorHAnsi" w:cs="Arial"/>
                <w:color w:val="000000"/>
                <w:sz w:val="20"/>
                <w:szCs w:val="20"/>
              </w:rPr>
              <w:t xml:space="preserve">a ureditev zelenih površin in za dopolnitev gozdne vizualne pregrade ni dopustno uporabiti tistih vrst drevnin, ki so prenašalke hruševega ožiga in tujerodnih invazivnih vrst zeli, da bi se </w:t>
            </w:r>
            <w:r w:rsidRPr="00331FA0">
              <w:rPr>
                <w:rFonts w:asciiTheme="minorHAnsi" w:eastAsia="HiddenHorzOCR" w:hAnsiTheme="minorHAnsi" w:cs="Arial"/>
                <w:color w:val="000000"/>
                <w:sz w:val="20"/>
                <w:szCs w:val="20"/>
              </w:rPr>
              <w:t xml:space="preserve">preprečilo </w:t>
            </w:r>
            <w:r w:rsidRPr="00331FA0">
              <w:rPr>
                <w:rFonts w:asciiTheme="minorHAnsi" w:hAnsiTheme="minorHAnsi" w:cs="Arial"/>
                <w:color w:val="000000"/>
                <w:sz w:val="20"/>
                <w:szCs w:val="20"/>
              </w:rPr>
              <w:t>širjenje hruševega ožiga in neavtohtonih vrst v naravno okolje. Gojitvena ureditev sosednjega gozdnega roba in dopolnjenega gozda se izvede na podlagi svetovanja s strani Zavoda za gozdove Slovenije.</w:t>
            </w:r>
          </w:p>
          <w:p w:rsidR="002A404C" w:rsidRPr="00331FA0" w:rsidRDefault="002A404C" w:rsidP="00A009EE">
            <w:pPr>
              <w:jc w:val="both"/>
              <w:rPr>
                <w:rFonts w:asciiTheme="minorHAnsi" w:hAnsiTheme="minorHAnsi" w:cs="Arial"/>
                <w:sz w:val="20"/>
                <w:szCs w:val="20"/>
              </w:rPr>
            </w:pPr>
          </w:p>
          <w:p w:rsidR="002A404C" w:rsidRDefault="002A404C" w:rsidP="00A009EE">
            <w:pPr>
              <w:jc w:val="both"/>
              <w:rPr>
                <w:rFonts w:asciiTheme="minorHAnsi" w:hAnsiTheme="minorHAnsi" w:cs="Arial"/>
                <w:noProof/>
                <w:sz w:val="20"/>
                <w:szCs w:val="20"/>
              </w:rPr>
            </w:pPr>
            <w:r w:rsidRPr="00331FA0">
              <w:rPr>
                <w:rFonts w:asciiTheme="minorHAnsi" w:hAnsiTheme="minorHAnsi" w:cs="Arial"/>
                <w:noProof/>
                <w:sz w:val="20"/>
                <w:szCs w:val="20"/>
              </w:rPr>
              <w:drawing>
                <wp:inline distT="0" distB="0" distL="0" distR="0" wp14:anchorId="551B0C89" wp14:editId="09BCD969">
                  <wp:extent cx="1676400" cy="1714500"/>
                  <wp:effectExtent l="19050" t="19050" r="19050" b="19050"/>
                  <wp:docPr id="5" name="Slika 4" descr="lokacija6_ož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lokacija6_ožje"/>
                          <pic:cNvPicPr>
                            <a:picLocks noChangeAspect="1" noChangeArrowheads="1"/>
                          </pic:cNvPicPr>
                        </pic:nvPicPr>
                        <pic:blipFill>
                          <a:blip r:embed="rId7">
                            <a:extLst>
                              <a:ext uri="{28A0092B-C50C-407E-A947-70E740481C1C}">
                                <a14:useLocalDpi xmlns:a14="http://schemas.microsoft.com/office/drawing/2010/main" val="0"/>
                              </a:ext>
                            </a:extLst>
                          </a:blip>
                          <a:srcRect t="27844"/>
                          <a:stretch>
                            <a:fillRect/>
                          </a:stretch>
                        </pic:blipFill>
                        <pic:spPr bwMode="auto">
                          <a:xfrm>
                            <a:off x="0" y="0"/>
                            <a:ext cx="1676400" cy="1714500"/>
                          </a:xfrm>
                          <a:prstGeom prst="rect">
                            <a:avLst/>
                          </a:prstGeom>
                          <a:noFill/>
                          <a:ln w="9525" cmpd="sng">
                            <a:solidFill>
                              <a:srgbClr val="000000"/>
                            </a:solidFill>
                            <a:miter lim="800000"/>
                            <a:headEnd/>
                            <a:tailEnd/>
                          </a:ln>
                          <a:effectLst/>
                        </pic:spPr>
                      </pic:pic>
                    </a:graphicData>
                  </a:graphic>
                </wp:inline>
              </w:drawing>
            </w:r>
          </w:p>
          <w:p w:rsidR="002A404C" w:rsidRDefault="002A404C" w:rsidP="00A009EE">
            <w:pPr>
              <w:jc w:val="both"/>
              <w:rPr>
                <w:rFonts w:asciiTheme="minorHAnsi" w:hAnsiTheme="minorHAnsi" w:cs="Arial"/>
                <w:noProof/>
                <w:sz w:val="20"/>
                <w:szCs w:val="20"/>
              </w:rPr>
            </w:pPr>
          </w:p>
          <w:p w:rsidR="002A404C" w:rsidRPr="00331FA0" w:rsidRDefault="002A404C" w:rsidP="00A009EE">
            <w:pPr>
              <w:jc w:val="both"/>
              <w:rPr>
                <w:rFonts w:asciiTheme="minorHAnsi" w:hAnsiTheme="minorHAnsi" w:cs="Arial"/>
                <w:sz w:val="20"/>
                <w:szCs w:val="20"/>
              </w:rPr>
            </w:pPr>
          </w:p>
        </w:tc>
      </w:tr>
    </w:tbl>
    <w:p w:rsidR="002A404C" w:rsidRPr="00331FA0" w:rsidRDefault="002A404C" w:rsidP="002A404C">
      <w:pPr>
        <w:jc w:val="both"/>
        <w:rPr>
          <w:rFonts w:asciiTheme="minorHAnsi" w:hAnsiTheme="minorHAnsi" w:cs="Arial"/>
          <w:color w:val="000000"/>
          <w:sz w:val="20"/>
          <w:szCs w:val="20"/>
        </w:rPr>
      </w:pPr>
    </w:p>
    <w:p w:rsidR="002A404C" w:rsidRPr="00331FA0" w:rsidRDefault="002A404C" w:rsidP="002A404C">
      <w:pPr>
        <w:spacing w:line="276" w:lineRule="auto"/>
        <w:rPr>
          <w:rFonts w:asciiTheme="minorHAnsi" w:hAnsiTheme="minorHAnsi" w:cs="Arial"/>
          <w:sz w:val="20"/>
          <w:szCs w:val="20"/>
        </w:rPr>
      </w:pPr>
    </w:p>
    <w:p w:rsidR="002A404C" w:rsidRPr="00331FA0" w:rsidRDefault="002A404C" w:rsidP="002A404C">
      <w:pPr>
        <w:spacing w:line="276" w:lineRule="auto"/>
        <w:rPr>
          <w:rFonts w:asciiTheme="minorHAnsi" w:hAnsiTheme="minorHAnsi" w:cs="Arial"/>
          <w:sz w:val="20"/>
          <w:szCs w:val="20"/>
        </w:rPr>
      </w:pPr>
    </w:p>
    <w:p w:rsidR="002A404C" w:rsidRPr="00331FA0" w:rsidRDefault="002A404C" w:rsidP="002A404C">
      <w:pPr>
        <w:spacing w:line="276" w:lineRule="auto"/>
        <w:ind w:left="3960"/>
        <w:jc w:val="center"/>
        <w:rPr>
          <w:rFonts w:asciiTheme="minorHAnsi" w:hAnsiTheme="minorHAnsi" w:cs="Arial"/>
          <w:sz w:val="20"/>
          <w:szCs w:val="20"/>
        </w:rPr>
      </w:pPr>
      <w:r w:rsidRPr="00331FA0">
        <w:rPr>
          <w:rFonts w:asciiTheme="minorHAnsi" w:hAnsiTheme="minorHAnsi" w:cs="Arial"/>
          <w:sz w:val="20"/>
          <w:szCs w:val="20"/>
        </w:rPr>
        <w:t xml:space="preserve">Boštjan TRILAR </w:t>
      </w:r>
    </w:p>
    <w:p w:rsidR="002A404C" w:rsidRPr="00331FA0" w:rsidRDefault="002A404C" w:rsidP="002A404C">
      <w:pPr>
        <w:spacing w:line="276" w:lineRule="auto"/>
        <w:ind w:left="3960"/>
        <w:jc w:val="center"/>
        <w:rPr>
          <w:rFonts w:asciiTheme="minorHAnsi" w:hAnsiTheme="minorHAnsi" w:cs="Arial"/>
          <w:sz w:val="20"/>
          <w:szCs w:val="20"/>
        </w:rPr>
      </w:pPr>
      <w:r w:rsidRPr="00331FA0">
        <w:rPr>
          <w:rFonts w:asciiTheme="minorHAnsi" w:hAnsiTheme="minorHAnsi" w:cs="Arial"/>
          <w:sz w:val="20"/>
          <w:szCs w:val="20"/>
        </w:rPr>
        <w:t>ŽUPAN</w:t>
      </w:r>
    </w:p>
    <w:p w:rsidR="00D32DD1" w:rsidRDefault="00D32DD1"/>
    <w:sectPr w:rsidR="00D32DD1">
      <w:headerReference w:type="default" r:id="rId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Yu Gothic">
    <w:altName w:val="游ゴシック"/>
    <w:charset w:val="80"/>
    <w:family w:val="swiss"/>
    <w:pitch w:val="variable"/>
    <w:sig w:usb0="E00002FF" w:usb1="2AC7FDFF" w:usb2="00000016" w:usb3="00000000" w:csb0="0002009F" w:csb1="00000000"/>
  </w:font>
  <w:font w:name="Yu Gothic UI">
    <w:charset w:val="80"/>
    <w:family w:val="swiss"/>
    <w:pitch w:val="variable"/>
    <w:sig w:usb0="E00002FF" w:usb1="2AC7FDFF" w:usb2="00000016" w:usb3="00000000" w:csb0="000200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F1" w:rsidRPr="000610BD" w:rsidRDefault="00170E1C" w:rsidP="000610BD">
    <w:pPr>
      <w:pStyle w:val="Glava"/>
      <w:jc w:val="right"/>
      <w:rPr>
        <w:rFonts w:ascii="Arial" w:hAnsi="Arial" w:cs="Arial"/>
        <w:sz w:val="18"/>
        <w:szCs w:val="18"/>
      </w:rPr>
    </w:pPr>
    <w:r w:rsidRPr="000610BD">
      <w:rPr>
        <w:rFonts w:ascii="Arial" w:hAnsi="Arial" w:cs="Arial"/>
        <w:sz w:val="18"/>
        <w:szCs w:val="18"/>
      </w:rPr>
      <w:t>STALIŠČA DO PRIPOMB IN PREDLOGOV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04C"/>
    <w:rsid w:val="002A404C"/>
    <w:rsid w:val="00D32D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56505F-36AB-4882-8B38-4A01A5093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A404C"/>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rsid w:val="002A404C"/>
    <w:pPr>
      <w:tabs>
        <w:tab w:val="center" w:pos="4536"/>
        <w:tab w:val="right" w:pos="9072"/>
      </w:tabs>
    </w:pPr>
    <w:rPr>
      <w:lang w:val="x-none" w:eastAsia="x-none"/>
    </w:r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
    <w:basedOn w:val="Privzetapisavaodstavka"/>
    <w:link w:val="Glava"/>
    <w:rsid w:val="002A404C"/>
    <w:rPr>
      <w:rFonts w:ascii="Times New Roman" w:eastAsia="Times New Roman" w:hAnsi="Times New Roman" w:cs="Times New Roman"/>
      <w:sz w:val="24"/>
      <w:szCs w:val="24"/>
      <w:lang w:val="x-none" w:eastAsia="x-none"/>
    </w:rPr>
  </w:style>
  <w:style w:type="paragraph" w:styleId="Brezrazmikov">
    <w:name w:val="No Spacing"/>
    <w:uiPriority w:val="1"/>
    <w:qFormat/>
    <w:rsid w:val="002A404C"/>
    <w:pPr>
      <w:spacing w:after="0" w:line="240" w:lineRule="auto"/>
    </w:pPr>
    <w:rPr>
      <w:rFonts w:ascii="Calibri" w:eastAsia="Calibri" w:hAnsi="Calibri" w:cs="Times New Roman"/>
    </w:rPr>
  </w:style>
  <w:style w:type="paragraph" w:styleId="Telobesedila">
    <w:name w:val="Body Text"/>
    <w:basedOn w:val="Navaden"/>
    <w:link w:val="TelobesedilaZnak"/>
    <w:rsid w:val="002A404C"/>
    <w:pPr>
      <w:spacing w:after="120"/>
      <w:jc w:val="both"/>
    </w:pPr>
    <w:rPr>
      <w:rFonts w:ascii="Arial" w:hAnsi="Arial"/>
      <w:sz w:val="22"/>
    </w:rPr>
  </w:style>
  <w:style w:type="character" w:customStyle="1" w:styleId="TelobesedilaZnak">
    <w:name w:val="Telo besedila Znak"/>
    <w:basedOn w:val="Privzetapisavaodstavka"/>
    <w:link w:val="Telobesedila"/>
    <w:rsid w:val="002A404C"/>
    <w:rPr>
      <w:rFonts w:ascii="Arial" w:eastAsia="Times New Roman" w:hAnsi="Arial" w:cs="Times New Roman"/>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ranj.si" TargetMode="External"/><Relationship Id="rId11" Type="http://schemas.openxmlformats.org/officeDocument/2006/relationships/oleObject" Target="embeddings/oleObject1.bin"/><Relationship Id="rId5" Type="http://schemas.openxmlformats.org/officeDocument/2006/relationships/hyperlink" Target="mailto:mok@kranj.si"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emf"/><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1741</Words>
  <Characters>9927</Characters>
  <Application>Microsoft Office Word</Application>
  <DocSecurity>0</DocSecurity>
  <Lines>82</Lines>
  <Paragraphs>23</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11645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Fister-Frelih</dc:creator>
  <cp:keywords/>
  <dc:description/>
  <cp:lastModifiedBy>Romana Fister-Frelih</cp:lastModifiedBy>
  <cp:revision>1</cp:revision>
  <dcterms:created xsi:type="dcterms:W3CDTF">2018-08-22T11:03:00Z</dcterms:created>
  <dcterms:modified xsi:type="dcterms:W3CDTF">2018-08-22T11:04:00Z</dcterms:modified>
</cp:coreProperties>
</file>